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5D1A" w14:textId="08CA55BA" w:rsidR="001748F1" w:rsidRDefault="001748F1">
      <w:pPr>
        <w:rPr>
          <w:rFonts w:asciiTheme="majorHAnsi" w:eastAsiaTheme="majorEastAsia" w:hAnsiTheme="majorHAnsi" w:cstheme="majorBidi"/>
          <w:color w:val="0F4761" w:themeColor="accent1" w:themeShade="BF"/>
          <w:sz w:val="40"/>
          <w:szCs w:val="40"/>
        </w:rPr>
      </w:pPr>
      <w:r w:rsidRPr="001748F1">
        <w:rPr>
          <w:noProof/>
        </w:rPr>
        <w:drawing>
          <wp:anchor distT="0" distB="0" distL="114300" distR="114300" simplePos="0" relativeHeight="251658240" behindDoc="1" locked="0" layoutInCell="1" allowOverlap="1" wp14:anchorId="490E81F9" wp14:editId="405BE979">
            <wp:simplePos x="0" y="0"/>
            <wp:positionH relativeFrom="column">
              <wp:posOffset>-914400</wp:posOffset>
            </wp:positionH>
            <wp:positionV relativeFrom="paragraph">
              <wp:posOffset>53</wp:posOffset>
            </wp:positionV>
            <wp:extent cx="7779224" cy="9185469"/>
            <wp:effectExtent l="0" t="0" r="0" b="0"/>
            <wp:wrapTight wrapText="bothSides">
              <wp:wrapPolygon edited="0">
                <wp:start x="0" y="0"/>
                <wp:lineTo x="0" y="21548"/>
                <wp:lineTo x="21529" y="21548"/>
                <wp:lineTo x="21529" y="0"/>
                <wp:lineTo x="0" y="0"/>
              </wp:wrapPolygon>
            </wp:wrapTight>
            <wp:docPr id="15380625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8062527" name=""/>
                    <pic:cNvPicPr/>
                  </pic:nvPicPr>
                  <pic:blipFill>
                    <a:blip r:embed="rId8">
                      <a:extLst>
                        <a:ext uri="{28A0092B-C50C-407E-A947-70E740481C1C}">
                          <a14:useLocalDpi xmlns:a14="http://schemas.microsoft.com/office/drawing/2010/main" val="0"/>
                        </a:ext>
                      </a:extLst>
                    </a:blip>
                    <a:stretch>
                      <a:fillRect/>
                    </a:stretch>
                  </pic:blipFill>
                  <pic:spPr>
                    <a:xfrm>
                      <a:off x="0" y="0"/>
                      <a:ext cx="7783514" cy="9190535"/>
                    </a:xfrm>
                    <a:prstGeom prst="rect">
                      <a:avLst/>
                    </a:prstGeom>
                  </pic:spPr>
                </pic:pic>
              </a:graphicData>
            </a:graphic>
            <wp14:sizeRelH relativeFrom="page">
              <wp14:pctWidth>0</wp14:pctWidth>
            </wp14:sizeRelH>
            <wp14:sizeRelV relativeFrom="page">
              <wp14:pctHeight>0</wp14:pctHeight>
            </wp14:sizeRelV>
          </wp:anchor>
        </w:drawing>
      </w:r>
      <w:r>
        <w:br w:type="page"/>
      </w:r>
    </w:p>
    <w:p w14:paraId="64621348" w14:textId="4BA1B1CF" w:rsidR="00B3355B" w:rsidRDefault="00B3355B" w:rsidP="008C0A10">
      <w:pPr>
        <w:pStyle w:val="Heading1"/>
        <w:jc w:val="both"/>
      </w:pPr>
      <w:r>
        <w:t>Foreword</w:t>
      </w:r>
    </w:p>
    <w:p w14:paraId="12507911" w14:textId="60499332" w:rsidR="001A5603" w:rsidRPr="001A5603" w:rsidRDefault="001A5603" w:rsidP="001A5603">
      <w:pPr>
        <w:pStyle w:val="Heading1"/>
        <w:jc w:val="both"/>
        <w:rPr>
          <w:rFonts w:asciiTheme="minorHAnsi" w:eastAsiaTheme="minorHAnsi" w:hAnsiTheme="minorHAnsi" w:cstheme="minorBidi"/>
          <w:color w:val="auto"/>
          <w:sz w:val="22"/>
          <w:szCs w:val="22"/>
        </w:rPr>
      </w:pPr>
      <w:r w:rsidRPr="001A5603">
        <w:rPr>
          <w:rFonts w:asciiTheme="minorHAnsi" w:eastAsiaTheme="minorHAnsi" w:hAnsiTheme="minorHAnsi" w:cstheme="minorBidi"/>
          <w:color w:val="auto"/>
          <w:sz w:val="22"/>
          <w:szCs w:val="22"/>
        </w:rPr>
        <w:t xml:space="preserve">The Saint Lucia Ministry of Health, Wellness and Nutrition (MOHWN) recognizes the World Bank’s contributions to the design and implementation of the Universal Health Coverage Health Financing Policy and Strategy. </w:t>
      </w:r>
      <w:r w:rsidR="00B9583B">
        <w:rPr>
          <w:rFonts w:asciiTheme="minorHAnsi" w:eastAsiaTheme="minorHAnsi" w:hAnsiTheme="minorHAnsi" w:cstheme="minorBidi"/>
          <w:color w:val="auto"/>
          <w:sz w:val="22"/>
          <w:szCs w:val="22"/>
        </w:rPr>
        <w:t>Under the Health Systems Strengthening Project (HSSP)</w:t>
      </w:r>
      <w:r w:rsidR="007A363B">
        <w:rPr>
          <w:rStyle w:val="FootnoteReference"/>
          <w:rFonts w:asciiTheme="minorHAnsi" w:eastAsiaTheme="minorHAnsi" w:hAnsiTheme="minorHAnsi" w:cstheme="minorBidi"/>
          <w:color w:val="auto"/>
          <w:sz w:val="22"/>
          <w:szCs w:val="22"/>
        </w:rPr>
        <w:footnoteReference w:id="1"/>
      </w:r>
      <w:r w:rsidR="00B9583B">
        <w:rPr>
          <w:rFonts w:asciiTheme="minorHAnsi" w:eastAsiaTheme="minorHAnsi" w:hAnsiTheme="minorHAnsi" w:cstheme="minorBidi"/>
          <w:color w:val="auto"/>
          <w:sz w:val="22"/>
          <w:szCs w:val="22"/>
        </w:rPr>
        <w:t xml:space="preserve">, the </w:t>
      </w:r>
      <w:r w:rsidRPr="001A5603">
        <w:rPr>
          <w:rFonts w:asciiTheme="minorHAnsi" w:eastAsiaTheme="minorHAnsi" w:hAnsiTheme="minorHAnsi" w:cstheme="minorBidi"/>
          <w:color w:val="auto"/>
          <w:sz w:val="22"/>
          <w:szCs w:val="22"/>
        </w:rPr>
        <w:t>Ministry worked along with the World Bank to develop the Saint Lucia Health Financing Policy and Strategy (HFPS</w:t>
      </w:r>
      <w:r w:rsidR="000F0433">
        <w:rPr>
          <w:rFonts w:asciiTheme="minorHAnsi" w:eastAsiaTheme="minorHAnsi" w:hAnsiTheme="minorHAnsi" w:cstheme="minorBidi"/>
          <w:color w:val="auto"/>
          <w:sz w:val="22"/>
          <w:szCs w:val="22"/>
        </w:rPr>
        <w:t xml:space="preserve"> 2024</w:t>
      </w:r>
      <w:r w:rsidRPr="001A5603">
        <w:rPr>
          <w:rFonts w:asciiTheme="minorHAnsi" w:eastAsiaTheme="minorHAnsi" w:hAnsiTheme="minorHAnsi" w:cstheme="minorBidi"/>
          <w:color w:val="auto"/>
          <w:sz w:val="22"/>
          <w:szCs w:val="22"/>
        </w:rPr>
        <w:t>)</w:t>
      </w:r>
      <w:r w:rsidR="00974DCF">
        <w:rPr>
          <w:rFonts w:asciiTheme="minorHAnsi" w:eastAsiaTheme="minorHAnsi" w:hAnsiTheme="minorHAnsi" w:cstheme="minorBidi"/>
          <w:color w:val="auto"/>
          <w:sz w:val="22"/>
          <w:szCs w:val="22"/>
        </w:rPr>
        <w:t xml:space="preserve"> through a consultative process</w:t>
      </w:r>
      <w:r w:rsidR="009451EB">
        <w:rPr>
          <w:rFonts w:asciiTheme="minorHAnsi" w:eastAsiaTheme="minorHAnsi" w:hAnsiTheme="minorHAnsi" w:cstheme="minorBidi"/>
          <w:color w:val="auto"/>
          <w:sz w:val="22"/>
          <w:szCs w:val="22"/>
        </w:rPr>
        <w:t>,</w:t>
      </w:r>
      <w:r w:rsidR="006C4E87">
        <w:rPr>
          <w:rFonts w:asciiTheme="minorHAnsi" w:eastAsiaTheme="minorHAnsi" w:hAnsiTheme="minorHAnsi" w:cstheme="minorBidi"/>
          <w:color w:val="auto"/>
          <w:sz w:val="22"/>
          <w:szCs w:val="22"/>
        </w:rPr>
        <w:t xml:space="preserve"> </w:t>
      </w:r>
      <w:r w:rsidRPr="001A5603">
        <w:rPr>
          <w:rFonts w:asciiTheme="minorHAnsi" w:eastAsiaTheme="minorHAnsi" w:hAnsiTheme="minorHAnsi" w:cstheme="minorBidi"/>
          <w:color w:val="auto"/>
          <w:sz w:val="22"/>
          <w:szCs w:val="22"/>
        </w:rPr>
        <w:t xml:space="preserve">and the Performance Based Financing (PBF) Pilot was implemented in Saint Lucia between </w:t>
      </w:r>
      <w:r w:rsidR="00ED4426">
        <w:rPr>
          <w:rFonts w:asciiTheme="minorHAnsi" w:eastAsiaTheme="minorHAnsi" w:hAnsiTheme="minorHAnsi" w:cstheme="minorBidi"/>
          <w:color w:val="auto"/>
          <w:sz w:val="22"/>
          <w:szCs w:val="22"/>
        </w:rPr>
        <w:t>August 2023 and October 2025.</w:t>
      </w:r>
      <w:r w:rsidR="00527E9E" w:rsidRPr="00527E9E">
        <w:t xml:space="preserve"> </w:t>
      </w:r>
      <w:r w:rsidR="00A50A72" w:rsidRPr="00A50A72">
        <w:rPr>
          <w:rFonts w:asciiTheme="minorHAnsi" w:eastAsiaTheme="minorHAnsi" w:hAnsiTheme="minorHAnsi" w:cstheme="minorBidi"/>
          <w:color w:val="auto"/>
          <w:sz w:val="22"/>
          <w:szCs w:val="22"/>
        </w:rPr>
        <w:t xml:space="preserve">The Saint Lucia Government through the </w:t>
      </w:r>
      <w:r w:rsidR="00A50A72">
        <w:rPr>
          <w:rFonts w:asciiTheme="minorHAnsi" w:eastAsiaTheme="minorHAnsi" w:hAnsiTheme="minorHAnsi" w:cstheme="minorBidi"/>
          <w:color w:val="auto"/>
          <w:sz w:val="22"/>
          <w:szCs w:val="22"/>
        </w:rPr>
        <w:t>MOHWN</w:t>
      </w:r>
      <w:r w:rsidR="00A50A72" w:rsidRPr="00A50A72">
        <w:rPr>
          <w:rFonts w:asciiTheme="minorHAnsi" w:eastAsiaTheme="minorHAnsi" w:hAnsiTheme="minorHAnsi" w:cstheme="minorBidi"/>
          <w:color w:val="auto"/>
          <w:sz w:val="22"/>
          <w:szCs w:val="22"/>
        </w:rPr>
        <w:t xml:space="preserve"> continued its thrust towards attaining a financing mechanism for UHC</w:t>
      </w:r>
      <w:r w:rsidR="00A50A72">
        <w:rPr>
          <w:rFonts w:asciiTheme="minorHAnsi" w:eastAsiaTheme="minorHAnsi" w:hAnsiTheme="minorHAnsi" w:cstheme="minorBidi"/>
          <w:color w:val="auto"/>
          <w:sz w:val="22"/>
          <w:szCs w:val="22"/>
        </w:rPr>
        <w:t xml:space="preserve">, hiring </w:t>
      </w:r>
      <w:r w:rsidR="003A6B01" w:rsidRPr="003A6B01">
        <w:rPr>
          <w:rFonts w:asciiTheme="minorHAnsi" w:eastAsiaTheme="minorHAnsi" w:hAnsiTheme="minorHAnsi" w:cstheme="minorBidi"/>
          <w:color w:val="auto"/>
          <w:sz w:val="22"/>
          <w:szCs w:val="22"/>
        </w:rPr>
        <w:t>the Joint Independent Providers Association (JIPA)</w:t>
      </w:r>
      <w:r w:rsidR="007E5341">
        <w:rPr>
          <w:rFonts w:asciiTheme="minorHAnsi" w:eastAsiaTheme="minorHAnsi" w:hAnsiTheme="minorHAnsi" w:cstheme="minorBidi"/>
          <w:color w:val="auto"/>
          <w:sz w:val="22"/>
          <w:szCs w:val="22"/>
        </w:rPr>
        <w:t xml:space="preserve"> to further develop and operationalize </w:t>
      </w:r>
      <w:r w:rsidR="00C01F3A">
        <w:rPr>
          <w:rFonts w:asciiTheme="minorHAnsi" w:eastAsiaTheme="minorHAnsi" w:hAnsiTheme="minorHAnsi" w:cstheme="minorBidi"/>
          <w:color w:val="auto"/>
          <w:sz w:val="22"/>
          <w:szCs w:val="22"/>
        </w:rPr>
        <w:t xml:space="preserve">UHC </w:t>
      </w:r>
      <w:proofErr w:type="spellStart"/>
      <w:r w:rsidR="00C01F3A">
        <w:rPr>
          <w:rFonts w:asciiTheme="minorHAnsi" w:eastAsiaTheme="minorHAnsi" w:hAnsiTheme="minorHAnsi" w:cstheme="minorBidi"/>
          <w:color w:val="auto"/>
          <w:sz w:val="22"/>
          <w:szCs w:val="22"/>
        </w:rPr>
        <w:t>finacing</w:t>
      </w:r>
      <w:proofErr w:type="spellEnd"/>
      <w:r w:rsidR="003A6B01">
        <w:rPr>
          <w:rFonts w:asciiTheme="minorHAnsi" w:eastAsiaTheme="minorHAnsi" w:hAnsiTheme="minorHAnsi" w:cstheme="minorBidi"/>
          <w:color w:val="auto"/>
          <w:sz w:val="22"/>
          <w:szCs w:val="22"/>
        </w:rPr>
        <w:t>.</w:t>
      </w:r>
      <w:r w:rsidR="00A50A72">
        <w:rPr>
          <w:rFonts w:asciiTheme="minorHAnsi" w:eastAsiaTheme="minorHAnsi" w:hAnsiTheme="minorHAnsi" w:cstheme="minorBidi"/>
          <w:color w:val="auto"/>
          <w:sz w:val="22"/>
          <w:szCs w:val="22"/>
        </w:rPr>
        <w:t xml:space="preserve"> </w:t>
      </w:r>
      <w:r w:rsidR="00527E9E" w:rsidRPr="00527E9E">
        <w:rPr>
          <w:rFonts w:asciiTheme="minorHAnsi" w:eastAsiaTheme="minorHAnsi" w:hAnsiTheme="minorHAnsi" w:cstheme="minorBidi"/>
          <w:color w:val="auto"/>
          <w:sz w:val="22"/>
          <w:szCs w:val="22"/>
        </w:rPr>
        <w:t>The HFPS and the UHC White Paper informed the National Strategic Plan for Health (2025-2035) and the National Health Compact (2025-2030).</w:t>
      </w:r>
      <w:r w:rsidR="008E78D4">
        <w:rPr>
          <w:rFonts w:asciiTheme="minorHAnsi" w:eastAsiaTheme="minorHAnsi" w:hAnsiTheme="minorHAnsi" w:cstheme="minorBidi"/>
          <w:color w:val="auto"/>
          <w:sz w:val="22"/>
          <w:szCs w:val="22"/>
        </w:rPr>
        <w:t xml:space="preserve"> These </w:t>
      </w:r>
      <w:r w:rsidR="00D2111C">
        <w:rPr>
          <w:rFonts w:asciiTheme="minorHAnsi" w:eastAsiaTheme="minorHAnsi" w:hAnsiTheme="minorHAnsi" w:cstheme="minorBidi"/>
          <w:color w:val="auto"/>
          <w:sz w:val="22"/>
          <w:szCs w:val="22"/>
        </w:rPr>
        <w:t xml:space="preserve">policy and strategy documents jointly guide the </w:t>
      </w:r>
      <w:r w:rsidR="00791C6C">
        <w:rPr>
          <w:rFonts w:asciiTheme="minorHAnsi" w:eastAsiaTheme="minorHAnsi" w:hAnsiTheme="minorHAnsi" w:cstheme="minorBidi"/>
          <w:color w:val="auto"/>
          <w:sz w:val="22"/>
          <w:szCs w:val="22"/>
        </w:rPr>
        <w:t>Government on the expansion and sustainable financing of UHC.</w:t>
      </w:r>
      <w:r w:rsidR="00527E9E" w:rsidRPr="00A50A72">
        <w:rPr>
          <w:rFonts w:asciiTheme="minorHAnsi" w:eastAsiaTheme="minorHAnsi" w:hAnsiTheme="minorHAnsi" w:cstheme="minorBidi"/>
          <w:color w:val="auto"/>
          <w:sz w:val="22"/>
          <w:szCs w:val="22"/>
        </w:rPr>
        <w:t xml:space="preserve">  </w:t>
      </w:r>
    </w:p>
    <w:p w14:paraId="4D57736E" w14:textId="218A97A9" w:rsidR="001748F1" w:rsidRPr="001748F1" w:rsidRDefault="001748F1" w:rsidP="008C0A10">
      <w:pPr>
        <w:pStyle w:val="Heading1"/>
        <w:jc w:val="both"/>
      </w:pPr>
      <w:r w:rsidRPr="001748F1">
        <w:t>A Healthier Future for All: Executive Summary of Saint Lucia’s Health Financing Policy and Strategy (2026–2036)</w:t>
      </w:r>
    </w:p>
    <w:p w14:paraId="2EF41B4E" w14:textId="7169B3AE" w:rsidR="001748F1" w:rsidRPr="001748F1" w:rsidRDefault="001748F1" w:rsidP="008C0A10">
      <w:pPr>
        <w:jc w:val="both"/>
      </w:pPr>
      <w:r w:rsidRPr="001748F1">
        <w:t xml:space="preserve">The Ministry of Health, Wellness and </w:t>
      </w:r>
      <w:r>
        <w:t xml:space="preserve">Nutrition (MOHWN) is committed </w:t>
      </w:r>
      <w:r w:rsidRPr="001748F1">
        <w:t xml:space="preserve">to build a stronger, fairer, and more sustainable health system for every person in Saint Lucia. The Health Financing Policy and Strategy (HFPS) </w:t>
      </w:r>
      <w:r w:rsidR="0095185C">
        <w:t xml:space="preserve">guides the </w:t>
      </w:r>
      <w:r w:rsidRPr="001748F1">
        <w:t>path to achieve Universal Health Coverage (UHC): making sure everyone can get the care they need without financial hardship. This plan shifts from funding health facilities based on past budgets to purchasing the most effective services and rewarding quality care.</w:t>
      </w:r>
      <w:r w:rsidR="0095185C">
        <w:t xml:space="preserve"> </w:t>
      </w:r>
      <w:r w:rsidR="00E30C1C">
        <w:t xml:space="preserve">The </w:t>
      </w:r>
      <w:r w:rsidR="00D27CE1">
        <w:t>consultative process led to the following agreements to be pursued</w:t>
      </w:r>
      <w:r w:rsidR="00051877">
        <w:t xml:space="preserve">. </w:t>
      </w:r>
    </w:p>
    <w:p w14:paraId="65C838BB" w14:textId="4B03A93D" w:rsidR="001748F1" w:rsidRPr="001748F1" w:rsidRDefault="001748F1" w:rsidP="004064AB">
      <w:pPr>
        <w:pStyle w:val="Heading2"/>
        <w:spacing w:before="0" w:after="0" w:line="240" w:lineRule="auto"/>
        <w:jc w:val="both"/>
      </w:pPr>
      <w:r>
        <w:t xml:space="preserve">1. </w:t>
      </w:r>
      <w:r w:rsidRPr="001748F1">
        <w:t>Vision and Purpose</w:t>
      </w:r>
    </w:p>
    <w:p w14:paraId="4D353D04" w14:textId="77777777" w:rsidR="001748F1" w:rsidRPr="001748F1" w:rsidRDefault="001748F1" w:rsidP="004064AB">
      <w:pPr>
        <w:numPr>
          <w:ilvl w:val="0"/>
          <w:numId w:val="1"/>
        </w:numPr>
        <w:spacing w:after="0" w:line="240" w:lineRule="auto"/>
        <w:jc w:val="both"/>
      </w:pPr>
      <w:r w:rsidRPr="001748F1">
        <w:rPr>
          <w:b/>
          <w:bCs/>
        </w:rPr>
        <w:t>Guarantee access for all:</w:t>
      </w:r>
      <w:r w:rsidRPr="001748F1">
        <w:t xml:space="preserve"> Every person will be entitled to a defined package of essential health services, starting with primary care.</w:t>
      </w:r>
    </w:p>
    <w:p w14:paraId="0E72AF8D" w14:textId="77777777" w:rsidR="001748F1" w:rsidRPr="001748F1" w:rsidRDefault="001748F1" w:rsidP="004064AB">
      <w:pPr>
        <w:numPr>
          <w:ilvl w:val="0"/>
          <w:numId w:val="1"/>
        </w:numPr>
        <w:spacing w:after="0" w:line="240" w:lineRule="auto"/>
        <w:jc w:val="both"/>
      </w:pPr>
      <w:r w:rsidRPr="001748F1">
        <w:rPr>
          <w:b/>
          <w:bCs/>
        </w:rPr>
        <w:t>Advance equity and solidarity:</w:t>
      </w:r>
      <w:r w:rsidRPr="001748F1">
        <w:t xml:space="preserve"> Care will be based on need, not ability to pay or where you live.</w:t>
      </w:r>
    </w:p>
    <w:p w14:paraId="60C579AE" w14:textId="77777777" w:rsidR="001748F1" w:rsidRPr="001748F1" w:rsidRDefault="001748F1" w:rsidP="004064AB">
      <w:pPr>
        <w:numPr>
          <w:ilvl w:val="0"/>
          <w:numId w:val="1"/>
        </w:numPr>
        <w:spacing w:after="0" w:line="240" w:lineRule="auto"/>
        <w:jc w:val="both"/>
      </w:pPr>
      <w:r w:rsidRPr="001748F1">
        <w:rPr>
          <w:b/>
          <w:bCs/>
        </w:rPr>
        <w:t>Protect households from high costs:</w:t>
      </w:r>
      <w:r w:rsidRPr="001748F1">
        <w:t xml:space="preserve"> We will reduce out-of-pocket payments by expanding prepaid and pooled funding.</w:t>
      </w:r>
    </w:p>
    <w:p w14:paraId="45D46106" w14:textId="77777777" w:rsidR="004064AB" w:rsidRDefault="004064AB" w:rsidP="004064AB">
      <w:pPr>
        <w:pStyle w:val="Heading2"/>
        <w:spacing w:before="0" w:after="0" w:line="240" w:lineRule="auto"/>
        <w:jc w:val="both"/>
      </w:pPr>
    </w:p>
    <w:p w14:paraId="12D9F0AA" w14:textId="500AB526" w:rsidR="001748F1" w:rsidRPr="001748F1" w:rsidRDefault="001748F1" w:rsidP="004064AB">
      <w:pPr>
        <w:pStyle w:val="Heading2"/>
        <w:spacing w:before="0" w:after="0" w:line="240" w:lineRule="auto"/>
        <w:jc w:val="both"/>
      </w:pPr>
      <w:r>
        <w:t xml:space="preserve">2. </w:t>
      </w:r>
      <w:r w:rsidRPr="001748F1">
        <w:t>Key Objectives and Priorities</w:t>
      </w:r>
    </w:p>
    <w:p w14:paraId="4DF2652D" w14:textId="77777777" w:rsidR="001748F1" w:rsidRPr="001748F1" w:rsidRDefault="001748F1" w:rsidP="004064AB">
      <w:pPr>
        <w:numPr>
          <w:ilvl w:val="0"/>
          <w:numId w:val="2"/>
        </w:numPr>
        <w:spacing w:after="0" w:line="240" w:lineRule="auto"/>
        <w:jc w:val="both"/>
      </w:pPr>
      <w:r w:rsidRPr="001748F1">
        <w:rPr>
          <w:b/>
          <w:bCs/>
        </w:rPr>
        <w:t>Strengthen primary health care (PHC):</w:t>
      </w:r>
      <w:r w:rsidRPr="001748F1">
        <w:t xml:space="preserve"> Wellness centers will be the backbone of the system, focusing on prevention, early detection, and management of chronic diseases like diabetes and hypertension.</w:t>
      </w:r>
    </w:p>
    <w:p w14:paraId="67204AC2" w14:textId="4104C568" w:rsidR="001748F1" w:rsidRPr="001748F1" w:rsidRDefault="001748F1" w:rsidP="004064AB">
      <w:pPr>
        <w:numPr>
          <w:ilvl w:val="0"/>
          <w:numId w:val="2"/>
        </w:numPr>
        <w:spacing w:after="0" w:line="240" w:lineRule="auto"/>
        <w:jc w:val="both"/>
      </w:pPr>
      <w:r w:rsidRPr="001748F1">
        <w:rPr>
          <w:b/>
          <w:bCs/>
        </w:rPr>
        <w:t>Improve financial protection:</w:t>
      </w:r>
      <w:r w:rsidRPr="001748F1">
        <w:t xml:space="preserve"> Shift payments away from the point of service toward sustainable prepayment and pooled funds</w:t>
      </w:r>
      <w:r>
        <w:t xml:space="preserve"> to reduce out-of-pocket payments</w:t>
      </w:r>
      <w:r w:rsidRPr="001748F1">
        <w:t>.</w:t>
      </w:r>
    </w:p>
    <w:p w14:paraId="5CE0E564" w14:textId="045EFF07" w:rsidR="001748F1" w:rsidRPr="001748F1" w:rsidRDefault="001748F1" w:rsidP="004064AB">
      <w:pPr>
        <w:numPr>
          <w:ilvl w:val="0"/>
          <w:numId w:val="2"/>
        </w:numPr>
        <w:spacing w:after="0" w:line="240" w:lineRule="auto"/>
        <w:jc w:val="both"/>
      </w:pPr>
      <w:r w:rsidRPr="001748F1">
        <w:rPr>
          <w:b/>
          <w:bCs/>
        </w:rPr>
        <w:t>Purchase for results:</w:t>
      </w:r>
      <w:r w:rsidRPr="001748F1">
        <w:t xml:space="preserve"> Pay providers for the quality and quantity of services delivered, not just for </w:t>
      </w:r>
      <w:proofErr w:type="gramStart"/>
      <w:r w:rsidRPr="001748F1">
        <w:t>inputs</w:t>
      </w:r>
      <w:proofErr w:type="gramEnd"/>
      <w:r w:rsidRPr="001748F1">
        <w:t>, to improve efficiency and outcomes</w:t>
      </w:r>
      <w:r w:rsidR="00261E30">
        <w:t>, including patient satisfaction</w:t>
      </w:r>
      <w:r w:rsidRPr="001748F1">
        <w:t>.</w:t>
      </w:r>
    </w:p>
    <w:p w14:paraId="3ACD2344" w14:textId="77777777" w:rsidR="001748F1" w:rsidRPr="001748F1" w:rsidRDefault="001748F1" w:rsidP="004064AB">
      <w:pPr>
        <w:numPr>
          <w:ilvl w:val="0"/>
          <w:numId w:val="2"/>
        </w:numPr>
        <w:spacing w:after="0" w:line="240" w:lineRule="auto"/>
        <w:jc w:val="both"/>
      </w:pPr>
      <w:r w:rsidRPr="001748F1">
        <w:rPr>
          <w:b/>
          <w:bCs/>
        </w:rPr>
        <w:t xml:space="preserve">Ensure sustainable, equitable financing: </w:t>
      </w:r>
      <w:r w:rsidRPr="001748F1">
        <w:t>Increase health investment over time and allocate funds according to health needs across the country.</w:t>
      </w:r>
    </w:p>
    <w:p w14:paraId="6ACEBDCB" w14:textId="4A82DB07" w:rsidR="001748F1" w:rsidRPr="001748F1" w:rsidRDefault="001748F1" w:rsidP="004064AB">
      <w:pPr>
        <w:pStyle w:val="Heading2"/>
        <w:spacing w:before="0" w:after="0" w:line="240" w:lineRule="auto"/>
        <w:jc w:val="both"/>
      </w:pPr>
      <w:r>
        <w:t xml:space="preserve">3. </w:t>
      </w:r>
      <w:r w:rsidRPr="001748F1">
        <w:t>What Will Change for Citizens</w:t>
      </w:r>
    </w:p>
    <w:p w14:paraId="185409A3" w14:textId="77777777" w:rsidR="001748F1" w:rsidRPr="001748F1" w:rsidRDefault="001748F1" w:rsidP="004064AB">
      <w:pPr>
        <w:numPr>
          <w:ilvl w:val="0"/>
          <w:numId w:val="3"/>
        </w:numPr>
        <w:spacing w:after="0" w:line="240" w:lineRule="auto"/>
        <w:jc w:val="both"/>
        <w:rPr>
          <w:b/>
          <w:bCs/>
        </w:rPr>
      </w:pPr>
      <w:r w:rsidRPr="001748F1">
        <w:rPr>
          <w:b/>
          <w:bCs/>
        </w:rPr>
        <w:t>A Basic Benefit Package (BBP) for all:</w:t>
      </w:r>
    </w:p>
    <w:p w14:paraId="6B02737A" w14:textId="77777777" w:rsidR="001748F1" w:rsidRPr="001748F1" w:rsidRDefault="001748F1" w:rsidP="004064AB">
      <w:pPr>
        <w:numPr>
          <w:ilvl w:val="1"/>
          <w:numId w:val="4"/>
        </w:numPr>
        <w:spacing w:after="0" w:line="240" w:lineRule="auto"/>
        <w:jc w:val="both"/>
      </w:pPr>
      <w:r w:rsidRPr="001748F1">
        <w:rPr>
          <w:b/>
          <w:bCs/>
          <w:i/>
          <w:iCs/>
        </w:rPr>
        <w:t>Phase 1:</w:t>
      </w:r>
      <w:r w:rsidRPr="001748F1">
        <w:t xml:space="preserve"> Free access to services at primary health care centers, including consultations, essential tests, and management of priority conditions.</w:t>
      </w:r>
    </w:p>
    <w:p w14:paraId="5814F12D" w14:textId="77777777" w:rsidR="001748F1" w:rsidRPr="001748F1" w:rsidRDefault="001748F1" w:rsidP="004064AB">
      <w:pPr>
        <w:numPr>
          <w:ilvl w:val="1"/>
          <w:numId w:val="5"/>
        </w:numPr>
        <w:spacing w:after="0" w:line="240" w:lineRule="auto"/>
        <w:jc w:val="both"/>
      </w:pPr>
      <w:r w:rsidRPr="001748F1">
        <w:rPr>
          <w:b/>
          <w:bCs/>
          <w:i/>
          <w:iCs/>
        </w:rPr>
        <w:t>Phase 2 and beyond:</w:t>
      </w:r>
      <w:r w:rsidRPr="001748F1">
        <w:t xml:space="preserve"> Gradual expansion to selected outpatient specialty and hospital services (BBP+).</w:t>
      </w:r>
    </w:p>
    <w:p w14:paraId="36752DE1" w14:textId="10DADE6E" w:rsidR="001748F1" w:rsidRPr="001748F1" w:rsidRDefault="001748F1" w:rsidP="004064AB">
      <w:pPr>
        <w:numPr>
          <w:ilvl w:val="0"/>
          <w:numId w:val="3"/>
        </w:numPr>
        <w:spacing w:after="0" w:line="240" w:lineRule="auto"/>
        <w:jc w:val="both"/>
      </w:pPr>
      <w:r w:rsidRPr="001748F1">
        <w:rPr>
          <w:b/>
          <w:bCs/>
        </w:rPr>
        <w:t xml:space="preserve">Easier access, closer to home: </w:t>
      </w:r>
      <w:r w:rsidRPr="001748F1">
        <w:t>More services delivered at wellness centers to reduce unnecessary hospital visits.</w:t>
      </w:r>
      <w:r w:rsidR="00261E30">
        <w:t xml:space="preserve"> </w:t>
      </w:r>
    </w:p>
    <w:p w14:paraId="486DE51B" w14:textId="77777777" w:rsidR="001748F1" w:rsidRPr="001748F1" w:rsidRDefault="001748F1" w:rsidP="004064AB">
      <w:pPr>
        <w:numPr>
          <w:ilvl w:val="0"/>
          <w:numId w:val="3"/>
        </w:numPr>
        <w:spacing w:after="0" w:line="240" w:lineRule="auto"/>
        <w:jc w:val="both"/>
      </w:pPr>
      <w:r w:rsidRPr="001748F1">
        <w:rPr>
          <w:b/>
          <w:bCs/>
        </w:rPr>
        <w:t>Better quality care:</w:t>
      </w:r>
      <w:r w:rsidRPr="001748F1">
        <w:t xml:space="preserve"> Providers will be rewarded for meeting performance and quality targets, such as screening rates and treatment adherence.</w:t>
      </w:r>
    </w:p>
    <w:p w14:paraId="3AFB2AE1" w14:textId="77777777" w:rsidR="001748F1" w:rsidRDefault="001748F1" w:rsidP="004064AB">
      <w:pPr>
        <w:numPr>
          <w:ilvl w:val="0"/>
          <w:numId w:val="3"/>
        </w:numPr>
        <w:spacing w:after="0" w:line="240" w:lineRule="auto"/>
        <w:jc w:val="both"/>
      </w:pPr>
      <w:r w:rsidRPr="001748F1">
        <w:rPr>
          <w:b/>
          <w:bCs/>
        </w:rPr>
        <w:t>Less financial stress:</w:t>
      </w:r>
      <w:r w:rsidRPr="001748F1">
        <w:t xml:space="preserve"> As the package expands, out-of-pocket costs will fall, especially for common and essential services.</w:t>
      </w:r>
    </w:p>
    <w:p w14:paraId="6558F654" w14:textId="0DD7543C" w:rsidR="00261E30" w:rsidRPr="001748F1" w:rsidRDefault="00261E30" w:rsidP="004064AB">
      <w:pPr>
        <w:numPr>
          <w:ilvl w:val="0"/>
          <w:numId w:val="3"/>
        </w:numPr>
        <w:spacing w:after="0" w:line="240" w:lineRule="auto"/>
        <w:jc w:val="both"/>
      </w:pPr>
      <w:r>
        <w:rPr>
          <w:b/>
          <w:bCs/>
        </w:rPr>
        <w:t>Improved sustainability:</w:t>
      </w:r>
      <w:r>
        <w:t xml:space="preserve"> Encourage health care seeking early and at the right level of care to reduce costs and improve health outcomes.</w:t>
      </w:r>
    </w:p>
    <w:p w14:paraId="79060DAF" w14:textId="77777777" w:rsidR="004064AB" w:rsidRDefault="004064AB" w:rsidP="004064AB">
      <w:pPr>
        <w:pStyle w:val="Heading2"/>
        <w:spacing w:before="0" w:after="0" w:line="240" w:lineRule="auto"/>
        <w:jc w:val="both"/>
      </w:pPr>
    </w:p>
    <w:p w14:paraId="50A8CD0F" w14:textId="7F9B046F" w:rsidR="001748F1" w:rsidRPr="001748F1" w:rsidRDefault="001748F1" w:rsidP="004064AB">
      <w:pPr>
        <w:pStyle w:val="Heading2"/>
        <w:spacing w:before="0" w:after="0" w:line="240" w:lineRule="auto"/>
        <w:jc w:val="both"/>
      </w:pPr>
      <w:r>
        <w:t xml:space="preserve">4. </w:t>
      </w:r>
      <w:r w:rsidRPr="001748F1">
        <w:t>Major Programs and Interventions</w:t>
      </w:r>
    </w:p>
    <w:p w14:paraId="76CF91B0" w14:textId="3C6D4700" w:rsidR="001748F1" w:rsidRPr="001748F1" w:rsidRDefault="001748F1" w:rsidP="004064AB">
      <w:pPr>
        <w:numPr>
          <w:ilvl w:val="0"/>
          <w:numId w:val="6"/>
        </w:numPr>
        <w:spacing w:after="0" w:line="240" w:lineRule="auto"/>
        <w:jc w:val="both"/>
      </w:pPr>
      <w:r w:rsidRPr="001748F1">
        <w:rPr>
          <w:b/>
          <w:bCs/>
        </w:rPr>
        <w:t>Strategic purchasing:</w:t>
      </w:r>
      <w:r w:rsidRPr="001748F1">
        <w:t xml:space="preserve"> A national health </w:t>
      </w:r>
      <w:r w:rsidR="00C25E12" w:rsidRPr="001748F1">
        <w:t>purchaser</w:t>
      </w:r>
      <w:r w:rsidRPr="001748F1">
        <w:t xml:space="preserve"> operating under the </w:t>
      </w:r>
      <w:proofErr w:type="gramStart"/>
      <w:r w:rsidRPr="001748F1">
        <w:t>Ministry,</w:t>
      </w:r>
      <w:proofErr w:type="gramEnd"/>
      <w:r w:rsidRPr="001748F1">
        <w:t xml:space="preserve"> will contract public and private providers to deliver the BBP, focusing on value for money.</w:t>
      </w:r>
    </w:p>
    <w:p w14:paraId="1414F398" w14:textId="6FA3B46F" w:rsidR="001748F1" w:rsidRPr="001748F1" w:rsidRDefault="001748F1" w:rsidP="004064AB">
      <w:pPr>
        <w:numPr>
          <w:ilvl w:val="0"/>
          <w:numId w:val="6"/>
        </w:numPr>
        <w:spacing w:after="0" w:line="240" w:lineRule="auto"/>
        <w:jc w:val="both"/>
      </w:pPr>
      <w:r w:rsidRPr="001748F1">
        <w:rPr>
          <w:b/>
          <w:bCs/>
        </w:rPr>
        <w:t>Performance-Based Financing (PBF):</w:t>
      </w:r>
      <w:r w:rsidRPr="001748F1">
        <w:t xml:space="preserve"> Providers </w:t>
      </w:r>
      <w:r w:rsidR="00F52A80">
        <w:t xml:space="preserve">will be paid based on </w:t>
      </w:r>
      <w:r w:rsidRPr="001748F1">
        <w:t>hitting</w:t>
      </w:r>
      <w:r w:rsidR="00F52A80">
        <w:t xml:space="preserve"> </w:t>
      </w:r>
      <w:r w:rsidRPr="001748F1">
        <w:t>quality and service</w:t>
      </w:r>
      <w:r w:rsidR="00E869DA">
        <w:t xml:space="preserve"> volume</w:t>
      </w:r>
      <w:r w:rsidRPr="001748F1">
        <w:t xml:space="preserve"> targets—early rollouts </w:t>
      </w:r>
      <w:r w:rsidR="00261E30">
        <w:t xml:space="preserve">between August 2023 and </w:t>
      </w:r>
      <w:r w:rsidR="00C95435">
        <w:t>October</w:t>
      </w:r>
      <w:r w:rsidR="00261E30">
        <w:t xml:space="preserve"> 2025 </w:t>
      </w:r>
      <w:r w:rsidRPr="001748F1">
        <w:t>have shown promising results</w:t>
      </w:r>
      <w:r w:rsidR="00261E30">
        <w:t xml:space="preserve"> (improved management of NCDs)</w:t>
      </w:r>
      <w:r w:rsidRPr="001748F1">
        <w:t>.</w:t>
      </w:r>
    </w:p>
    <w:p w14:paraId="02D1BC01" w14:textId="4DE68F7C" w:rsidR="001748F1" w:rsidRPr="001748F1" w:rsidRDefault="00574BB7" w:rsidP="004064AB">
      <w:pPr>
        <w:numPr>
          <w:ilvl w:val="0"/>
          <w:numId w:val="6"/>
        </w:numPr>
        <w:spacing w:after="0" w:line="240" w:lineRule="auto"/>
        <w:jc w:val="both"/>
      </w:pPr>
      <w:r>
        <w:rPr>
          <w:b/>
          <w:bCs/>
        </w:rPr>
        <w:t>Population-base</w:t>
      </w:r>
      <w:r w:rsidR="00877F79">
        <w:rPr>
          <w:b/>
          <w:bCs/>
        </w:rPr>
        <w:t xml:space="preserve">d </w:t>
      </w:r>
      <w:r w:rsidR="001748F1" w:rsidRPr="001748F1">
        <w:rPr>
          <w:b/>
          <w:bCs/>
        </w:rPr>
        <w:t>PHC</w:t>
      </w:r>
      <w:r w:rsidR="007C509E">
        <w:rPr>
          <w:b/>
          <w:bCs/>
        </w:rPr>
        <w:t xml:space="preserve"> financing</w:t>
      </w:r>
      <w:r w:rsidR="001748F1" w:rsidRPr="001748F1">
        <w:rPr>
          <w:b/>
          <w:bCs/>
        </w:rPr>
        <w:t>:</w:t>
      </w:r>
      <w:r w:rsidR="001748F1" w:rsidRPr="001748F1">
        <w:t xml:space="preserve"> Wellness centers are funded based on the population they serve, encouraging proactive, community-focused care.</w:t>
      </w:r>
    </w:p>
    <w:p w14:paraId="0063E9B2" w14:textId="77777777" w:rsidR="00BF06B8" w:rsidRDefault="00BF06B8" w:rsidP="004064AB">
      <w:pPr>
        <w:spacing w:after="0" w:line="240" w:lineRule="auto"/>
        <w:jc w:val="both"/>
        <w:rPr>
          <w:rStyle w:val="Heading2Char"/>
        </w:rPr>
      </w:pPr>
    </w:p>
    <w:p w14:paraId="296C9BF2" w14:textId="795EC899" w:rsidR="001748F1" w:rsidRPr="001748F1" w:rsidRDefault="001748F1" w:rsidP="004064AB">
      <w:pPr>
        <w:spacing w:after="0" w:line="240" w:lineRule="auto"/>
        <w:jc w:val="both"/>
      </w:pPr>
      <w:r>
        <w:rPr>
          <w:rStyle w:val="Heading2Char"/>
        </w:rPr>
        <w:t xml:space="preserve">5. </w:t>
      </w:r>
      <w:r w:rsidRPr="001748F1">
        <w:rPr>
          <w:rStyle w:val="Heading2Char"/>
        </w:rPr>
        <w:t>Implementation</w:t>
      </w:r>
    </w:p>
    <w:p w14:paraId="46A75BAB" w14:textId="77777777" w:rsidR="001748F1" w:rsidRPr="001748F1" w:rsidRDefault="001748F1" w:rsidP="004064AB">
      <w:pPr>
        <w:pStyle w:val="Heading3"/>
        <w:spacing w:before="0" w:after="0" w:line="240" w:lineRule="auto"/>
        <w:ind w:firstLine="720"/>
        <w:jc w:val="both"/>
      </w:pPr>
      <w:r w:rsidRPr="001748F1">
        <w:t>Phase I (Years 1–2): Strengthening the foundation</w:t>
      </w:r>
    </w:p>
    <w:p w14:paraId="1D749746" w14:textId="77777777" w:rsidR="001748F1" w:rsidRPr="001748F1" w:rsidRDefault="001748F1" w:rsidP="004064AB">
      <w:pPr>
        <w:numPr>
          <w:ilvl w:val="1"/>
          <w:numId w:val="8"/>
        </w:numPr>
        <w:spacing w:after="0" w:line="240" w:lineRule="auto"/>
        <w:jc w:val="both"/>
      </w:pPr>
      <w:r w:rsidRPr="001748F1">
        <w:rPr>
          <w:b/>
          <w:bCs/>
        </w:rPr>
        <w:t>Focus:</w:t>
      </w:r>
      <w:r w:rsidRPr="001748F1">
        <w:t xml:space="preserve"> Purchase all frontline PHC services for the entire population.</w:t>
      </w:r>
    </w:p>
    <w:p w14:paraId="1CDC1E57" w14:textId="55BA1FEA" w:rsidR="001748F1" w:rsidRPr="001748F1" w:rsidRDefault="001748F1" w:rsidP="004064AB">
      <w:pPr>
        <w:numPr>
          <w:ilvl w:val="1"/>
          <w:numId w:val="9"/>
        </w:numPr>
        <w:spacing w:after="0" w:line="240" w:lineRule="auto"/>
        <w:jc w:val="both"/>
      </w:pPr>
      <w:r w:rsidRPr="001748F1">
        <w:rPr>
          <w:b/>
          <w:bCs/>
        </w:rPr>
        <w:t>Financing:</w:t>
      </w:r>
      <w:r w:rsidRPr="001748F1">
        <w:t xml:space="preserve"> Targeted increases in government health spending; </w:t>
      </w:r>
      <w:r w:rsidR="008C0A10">
        <w:t xml:space="preserve">expand and </w:t>
      </w:r>
      <w:r w:rsidRPr="001748F1">
        <w:t>institutionalize performance-based financing.</w:t>
      </w:r>
    </w:p>
    <w:p w14:paraId="4384B524" w14:textId="77777777" w:rsidR="001748F1" w:rsidRPr="001748F1" w:rsidRDefault="001748F1" w:rsidP="004064AB">
      <w:pPr>
        <w:numPr>
          <w:ilvl w:val="1"/>
          <w:numId w:val="10"/>
        </w:numPr>
        <w:spacing w:after="0" w:line="240" w:lineRule="auto"/>
        <w:jc w:val="both"/>
      </w:pPr>
      <w:r w:rsidRPr="001748F1">
        <w:rPr>
          <w:b/>
          <w:bCs/>
        </w:rPr>
        <w:t>Outcome:</w:t>
      </w:r>
      <w:r w:rsidRPr="001748F1">
        <w:t xml:space="preserve"> Better access and quality at PHC level, creating efficiency gains to support expansion.</w:t>
      </w:r>
    </w:p>
    <w:p w14:paraId="5525EF22" w14:textId="77777777" w:rsidR="001748F1" w:rsidRPr="001748F1" w:rsidRDefault="001748F1" w:rsidP="004064AB">
      <w:pPr>
        <w:pStyle w:val="Heading3"/>
        <w:spacing w:before="0" w:after="0" w:line="240" w:lineRule="auto"/>
        <w:ind w:firstLine="720"/>
        <w:jc w:val="both"/>
      </w:pPr>
      <w:r w:rsidRPr="001748F1">
        <w:t>Phase II (Years 3–5): Expanding services</w:t>
      </w:r>
    </w:p>
    <w:p w14:paraId="2B53C903" w14:textId="2FC7F276" w:rsidR="001748F1" w:rsidRPr="001748F1" w:rsidRDefault="001748F1" w:rsidP="004064AB">
      <w:pPr>
        <w:numPr>
          <w:ilvl w:val="1"/>
          <w:numId w:val="11"/>
        </w:numPr>
        <w:spacing w:after="0" w:line="240" w:lineRule="auto"/>
        <w:jc w:val="both"/>
      </w:pPr>
      <w:r w:rsidRPr="001748F1">
        <w:rPr>
          <w:b/>
          <w:bCs/>
        </w:rPr>
        <w:t>Focus:</w:t>
      </w:r>
      <w:r w:rsidRPr="001748F1">
        <w:t xml:space="preserve"> Add package of outpatient specialty</w:t>
      </w:r>
      <w:r w:rsidR="00962191">
        <w:t>, outpatient surgery,</w:t>
      </w:r>
      <w:r w:rsidRPr="001748F1">
        <w:t xml:space="preserve"> and </w:t>
      </w:r>
      <w:r w:rsidR="00962191">
        <w:t xml:space="preserve">additional benefits for </w:t>
      </w:r>
      <w:r w:rsidRPr="001748F1">
        <w:t xml:space="preserve">inpatient </w:t>
      </w:r>
      <w:r w:rsidR="00962191">
        <w:t>care</w:t>
      </w:r>
      <w:r w:rsidRPr="001748F1">
        <w:t>.</w:t>
      </w:r>
    </w:p>
    <w:p w14:paraId="485353E0" w14:textId="24AD65D2" w:rsidR="001748F1" w:rsidRPr="001748F1" w:rsidRDefault="001748F1" w:rsidP="004064AB">
      <w:pPr>
        <w:numPr>
          <w:ilvl w:val="1"/>
          <w:numId w:val="12"/>
        </w:numPr>
        <w:spacing w:after="0" w:line="240" w:lineRule="auto"/>
        <w:jc w:val="both"/>
      </w:pPr>
      <w:r w:rsidRPr="001748F1">
        <w:rPr>
          <w:b/>
          <w:bCs/>
        </w:rPr>
        <w:t>Financing:</w:t>
      </w:r>
      <w:r w:rsidRPr="001748F1">
        <w:t xml:space="preserve"> Continued government revenues</w:t>
      </w:r>
      <w:r w:rsidR="00B4077C">
        <w:t xml:space="preserve"> + prepayment </w:t>
      </w:r>
      <w:r w:rsidR="000D7495">
        <w:t>(</w:t>
      </w:r>
      <w:r w:rsidR="00051A5C">
        <w:t xml:space="preserve">payroll contribution and </w:t>
      </w:r>
      <w:r w:rsidR="000D7495">
        <w:t>insurance)</w:t>
      </w:r>
      <w:r w:rsidR="00051A5C">
        <w:t xml:space="preserve">, subsidy for the </w:t>
      </w:r>
      <w:r w:rsidR="00632BF6">
        <w:t>poor and vulnerable</w:t>
      </w:r>
    </w:p>
    <w:p w14:paraId="3FC5A5C5" w14:textId="77777777" w:rsidR="001748F1" w:rsidRPr="001748F1" w:rsidRDefault="001748F1" w:rsidP="004064AB">
      <w:pPr>
        <w:numPr>
          <w:ilvl w:val="1"/>
          <w:numId w:val="13"/>
        </w:numPr>
        <w:spacing w:after="0" w:line="240" w:lineRule="auto"/>
        <w:jc w:val="both"/>
      </w:pPr>
      <w:r w:rsidRPr="001748F1">
        <w:rPr>
          <w:b/>
          <w:bCs/>
        </w:rPr>
        <w:t>Outcome:</w:t>
      </w:r>
      <w:r w:rsidRPr="001748F1">
        <w:t xml:space="preserve"> Consolidate purchasing systems and prepare for broader coverage.</w:t>
      </w:r>
    </w:p>
    <w:p w14:paraId="1C7557E7" w14:textId="77777777" w:rsidR="001748F1" w:rsidRPr="001748F1" w:rsidRDefault="001748F1" w:rsidP="004064AB">
      <w:pPr>
        <w:pStyle w:val="Heading3"/>
        <w:spacing w:before="0" w:after="0" w:line="240" w:lineRule="auto"/>
        <w:ind w:firstLine="720"/>
        <w:jc w:val="both"/>
      </w:pPr>
      <w:r w:rsidRPr="001748F1">
        <w:t>Phase III (Years 6–10): Achieving universal coverage</w:t>
      </w:r>
    </w:p>
    <w:p w14:paraId="5CB9EA85" w14:textId="366F18CB" w:rsidR="001748F1" w:rsidRPr="001748F1" w:rsidRDefault="001748F1" w:rsidP="004064AB">
      <w:pPr>
        <w:numPr>
          <w:ilvl w:val="1"/>
          <w:numId w:val="14"/>
        </w:numPr>
        <w:spacing w:after="0" w:line="240" w:lineRule="auto"/>
        <w:jc w:val="both"/>
      </w:pPr>
      <w:r w:rsidRPr="001748F1">
        <w:rPr>
          <w:b/>
          <w:bCs/>
        </w:rPr>
        <w:t>Focus:</w:t>
      </w:r>
      <w:r w:rsidRPr="001748F1">
        <w:t xml:space="preserve"> Expand benefits and significantly reduce out-of-pocket costs.</w:t>
      </w:r>
    </w:p>
    <w:p w14:paraId="6366D398" w14:textId="5F16FE42" w:rsidR="001748F1" w:rsidRPr="001748F1" w:rsidRDefault="001748F1" w:rsidP="004064AB">
      <w:pPr>
        <w:numPr>
          <w:ilvl w:val="1"/>
          <w:numId w:val="15"/>
        </w:numPr>
        <w:spacing w:after="0" w:line="240" w:lineRule="auto"/>
        <w:jc w:val="both"/>
      </w:pPr>
      <w:r w:rsidRPr="001748F1">
        <w:rPr>
          <w:b/>
          <w:bCs/>
        </w:rPr>
        <w:t>Financing:</w:t>
      </w:r>
      <w:r w:rsidRPr="001748F1">
        <w:t xml:space="preserve"> </w:t>
      </w:r>
      <w:r w:rsidR="00BE74D0">
        <w:t>Further strengthen</w:t>
      </w:r>
      <w:r w:rsidR="00BE74D0" w:rsidRPr="001748F1">
        <w:t xml:space="preserve"> </w:t>
      </w:r>
      <w:r w:rsidRPr="001748F1">
        <w:t>prepayment mechanisms (e.g., payroll contributions for the formal sector and premiums for the informal sector), with government subsidies for the poor and unemployed.</w:t>
      </w:r>
    </w:p>
    <w:p w14:paraId="7AD061E8" w14:textId="77777777" w:rsidR="001748F1" w:rsidRPr="001748F1" w:rsidRDefault="001748F1" w:rsidP="004064AB">
      <w:pPr>
        <w:numPr>
          <w:ilvl w:val="1"/>
          <w:numId w:val="16"/>
        </w:numPr>
        <w:spacing w:after="0" w:line="240" w:lineRule="auto"/>
        <w:jc w:val="both"/>
      </w:pPr>
      <w:r w:rsidRPr="001748F1">
        <w:rPr>
          <w:b/>
          <w:bCs/>
        </w:rPr>
        <w:t>Outcome:</w:t>
      </w:r>
      <w:r w:rsidRPr="001748F1">
        <w:t xml:space="preserve"> Comprehensive, equitable, and financially sustainable coverage for all.</w:t>
      </w:r>
    </w:p>
    <w:p w14:paraId="1C7DA804" w14:textId="77777777" w:rsidR="004064AB" w:rsidRDefault="004064AB" w:rsidP="004064AB">
      <w:pPr>
        <w:pStyle w:val="Heading2"/>
        <w:spacing w:before="0" w:after="0" w:line="240" w:lineRule="auto"/>
        <w:jc w:val="both"/>
      </w:pPr>
    </w:p>
    <w:p w14:paraId="2748EC81" w14:textId="0E52E090" w:rsidR="001748F1" w:rsidRPr="001748F1" w:rsidRDefault="001748F1" w:rsidP="004064AB">
      <w:pPr>
        <w:pStyle w:val="Heading2"/>
        <w:spacing w:before="0" w:after="0" w:line="240" w:lineRule="auto"/>
        <w:jc w:val="both"/>
      </w:pPr>
      <w:r>
        <w:t xml:space="preserve">6. </w:t>
      </w:r>
      <w:r w:rsidRPr="001748F1">
        <w:t>Equity, Access, and Quality</w:t>
      </w:r>
    </w:p>
    <w:p w14:paraId="33A5E802" w14:textId="77777777" w:rsidR="001748F1" w:rsidRPr="001748F1" w:rsidRDefault="001748F1" w:rsidP="004064AB">
      <w:pPr>
        <w:numPr>
          <w:ilvl w:val="0"/>
          <w:numId w:val="17"/>
        </w:numPr>
        <w:spacing w:after="0" w:line="240" w:lineRule="auto"/>
        <w:jc w:val="both"/>
      </w:pPr>
      <w:r w:rsidRPr="001748F1">
        <w:rPr>
          <w:b/>
          <w:bCs/>
        </w:rPr>
        <w:t>Equity:</w:t>
      </w:r>
      <w:r w:rsidRPr="001748F1">
        <w:t xml:space="preserve"> Funding will be pooled and allocated based on health needs, ensuring fair distribution of resources across regions and population groups.</w:t>
      </w:r>
    </w:p>
    <w:p w14:paraId="7EC251B7" w14:textId="77777777" w:rsidR="001748F1" w:rsidRPr="001748F1" w:rsidRDefault="001748F1" w:rsidP="004064AB">
      <w:pPr>
        <w:numPr>
          <w:ilvl w:val="0"/>
          <w:numId w:val="17"/>
        </w:numPr>
        <w:spacing w:after="0" w:line="240" w:lineRule="auto"/>
        <w:jc w:val="both"/>
      </w:pPr>
      <w:r w:rsidRPr="001748F1">
        <w:rPr>
          <w:b/>
          <w:bCs/>
        </w:rPr>
        <w:t>Access:</w:t>
      </w:r>
      <w:r w:rsidRPr="001748F1">
        <w:t xml:space="preserve"> Primary care services will be guaranteed nationwide, with progressive expansion to higher-level care.</w:t>
      </w:r>
    </w:p>
    <w:p w14:paraId="7FC5D422" w14:textId="77777777" w:rsidR="001748F1" w:rsidRPr="001748F1" w:rsidRDefault="001748F1" w:rsidP="004064AB">
      <w:pPr>
        <w:numPr>
          <w:ilvl w:val="0"/>
          <w:numId w:val="17"/>
        </w:numPr>
        <w:spacing w:after="0" w:line="240" w:lineRule="auto"/>
        <w:jc w:val="both"/>
      </w:pPr>
      <w:r w:rsidRPr="001748F1">
        <w:rPr>
          <w:b/>
          <w:bCs/>
        </w:rPr>
        <w:t>Quality:</w:t>
      </w:r>
      <w:r w:rsidRPr="001748F1">
        <w:t xml:space="preserve"> Clear standards, routine measurement, and incentives will drive improvements in patient safety, continuity of care, and user experience.</w:t>
      </w:r>
    </w:p>
    <w:p w14:paraId="7784F8B7" w14:textId="77777777" w:rsidR="004064AB" w:rsidRDefault="004064AB" w:rsidP="004064AB">
      <w:pPr>
        <w:pStyle w:val="Heading2"/>
        <w:spacing w:before="0" w:after="0" w:line="240" w:lineRule="auto"/>
        <w:jc w:val="both"/>
      </w:pPr>
    </w:p>
    <w:p w14:paraId="636829E4" w14:textId="7847DA0C" w:rsidR="001748F1" w:rsidRPr="001748F1" w:rsidRDefault="001748F1" w:rsidP="004064AB">
      <w:pPr>
        <w:pStyle w:val="Heading2"/>
        <w:spacing w:before="0" w:after="0" w:line="240" w:lineRule="auto"/>
        <w:jc w:val="both"/>
      </w:pPr>
      <w:r>
        <w:t xml:space="preserve">7. </w:t>
      </w:r>
      <w:r w:rsidRPr="001748F1">
        <w:t>Monitoring Progress</w:t>
      </w:r>
    </w:p>
    <w:p w14:paraId="2E1BEE50" w14:textId="516D1879" w:rsidR="001748F1" w:rsidRPr="001748F1" w:rsidRDefault="001748F1" w:rsidP="004064AB">
      <w:pPr>
        <w:spacing w:after="0" w:line="240" w:lineRule="auto"/>
        <w:jc w:val="both"/>
      </w:pPr>
      <w:r w:rsidRPr="001748F1">
        <w:t>The Ministry will track and publicly report on progress using clear indicators, including:</w:t>
      </w:r>
    </w:p>
    <w:p w14:paraId="00924EC7" w14:textId="77777777" w:rsidR="001748F1" w:rsidRPr="001748F1" w:rsidRDefault="001748F1" w:rsidP="004064AB">
      <w:pPr>
        <w:numPr>
          <w:ilvl w:val="0"/>
          <w:numId w:val="18"/>
        </w:numPr>
        <w:spacing w:after="0" w:line="240" w:lineRule="auto"/>
        <w:jc w:val="both"/>
      </w:pPr>
      <w:r w:rsidRPr="001748F1">
        <w:t>Increased use of essential PHC services.</w:t>
      </w:r>
    </w:p>
    <w:p w14:paraId="07E4E85C" w14:textId="77777777" w:rsidR="001748F1" w:rsidRPr="001748F1" w:rsidRDefault="001748F1" w:rsidP="004064AB">
      <w:pPr>
        <w:numPr>
          <w:ilvl w:val="0"/>
          <w:numId w:val="18"/>
        </w:numPr>
        <w:spacing w:after="0" w:line="240" w:lineRule="auto"/>
        <w:jc w:val="both"/>
      </w:pPr>
      <w:r w:rsidRPr="001748F1">
        <w:t>Improved outcomes for chronic disease management.</w:t>
      </w:r>
    </w:p>
    <w:p w14:paraId="73B2D083" w14:textId="00C94B37" w:rsidR="001748F1" w:rsidRPr="001748F1" w:rsidRDefault="001748F1" w:rsidP="004064AB">
      <w:pPr>
        <w:numPr>
          <w:ilvl w:val="0"/>
          <w:numId w:val="18"/>
        </w:numPr>
        <w:spacing w:after="0" w:line="240" w:lineRule="auto"/>
        <w:jc w:val="both"/>
      </w:pPr>
      <w:r w:rsidRPr="001748F1">
        <w:t>Reduced out-of-pocket spending for households.</w:t>
      </w:r>
    </w:p>
    <w:p w14:paraId="2DF614AF" w14:textId="77777777" w:rsidR="001748F1" w:rsidRPr="001748F1" w:rsidRDefault="001748F1" w:rsidP="004064AB">
      <w:pPr>
        <w:numPr>
          <w:ilvl w:val="0"/>
          <w:numId w:val="18"/>
        </w:numPr>
        <w:spacing w:after="0" w:line="240" w:lineRule="auto"/>
        <w:jc w:val="both"/>
      </w:pPr>
      <w:r w:rsidRPr="001748F1">
        <w:t>Better patient satisfaction and quality of care.</w:t>
      </w:r>
    </w:p>
    <w:p w14:paraId="20C988BF" w14:textId="77777777" w:rsidR="00DF06B6" w:rsidRDefault="00DF06B6" w:rsidP="004064AB">
      <w:pPr>
        <w:spacing w:after="0" w:line="240" w:lineRule="auto"/>
        <w:jc w:val="both"/>
      </w:pPr>
    </w:p>
    <w:p w14:paraId="54844CC6" w14:textId="1A53ED76" w:rsidR="001748F1" w:rsidRPr="001748F1" w:rsidRDefault="001748F1" w:rsidP="004064AB">
      <w:pPr>
        <w:spacing w:after="0" w:line="240" w:lineRule="auto"/>
        <w:jc w:val="both"/>
      </w:pPr>
      <w:r w:rsidRPr="001748F1">
        <w:t>This data will guide continuous improvements to ensure the strategy stays on track and delivers better health for the nation.</w:t>
      </w:r>
    </w:p>
    <w:p w14:paraId="012F586A" w14:textId="77777777" w:rsidR="004064AB" w:rsidRDefault="004064AB" w:rsidP="004064AB">
      <w:pPr>
        <w:pStyle w:val="Heading2"/>
        <w:spacing w:before="0" w:after="0" w:line="240" w:lineRule="auto"/>
        <w:jc w:val="both"/>
      </w:pPr>
    </w:p>
    <w:p w14:paraId="7282218B" w14:textId="43467626" w:rsidR="001748F1" w:rsidRPr="001748F1" w:rsidRDefault="001748F1" w:rsidP="004064AB">
      <w:pPr>
        <w:pStyle w:val="Heading2"/>
        <w:spacing w:before="0" w:after="0" w:line="240" w:lineRule="auto"/>
        <w:jc w:val="both"/>
      </w:pPr>
      <w:r>
        <w:t xml:space="preserve">8. </w:t>
      </w:r>
      <w:r w:rsidRPr="001748F1">
        <w:t>Partnerships and Governance</w:t>
      </w:r>
    </w:p>
    <w:p w14:paraId="054DB4A1" w14:textId="1D3E7BBC" w:rsidR="001748F1" w:rsidRPr="001748F1" w:rsidRDefault="001748F1" w:rsidP="004064AB">
      <w:pPr>
        <w:numPr>
          <w:ilvl w:val="0"/>
          <w:numId w:val="19"/>
        </w:numPr>
        <w:spacing w:after="0" w:line="240" w:lineRule="auto"/>
        <w:jc w:val="both"/>
      </w:pPr>
      <w:r w:rsidRPr="001748F1">
        <w:t>Strong coordination with the Ministry of Finance to secure sustainable funding and align incentives.</w:t>
      </w:r>
    </w:p>
    <w:p w14:paraId="111743F5" w14:textId="77777777" w:rsidR="001748F1" w:rsidRPr="001748F1" w:rsidRDefault="001748F1" w:rsidP="004064AB">
      <w:pPr>
        <w:numPr>
          <w:ilvl w:val="0"/>
          <w:numId w:val="19"/>
        </w:numPr>
        <w:spacing w:after="0" w:line="240" w:lineRule="auto"/>
        <w:jc w:val="both"/>
      </w:pPr>
      <w:r w:rsidRPr="001748F1">
        <w:t>Contracting with public and private providers to widen access and improve service quality.</w:t>
      </w:r>
    </w:p>
    <w:p w14:paraId="4496BBB6" w14:textId="1C5DF927" w:rsidR="001748F1" w:rsidRPr="001748F1" w:rsidRDefault="001748F1" w:rsidP="004064AB">
      <w:pPr>
        <w:numPr>
          <w:ilvl w:val="0"/>
          <w:numId w:val="19"/>
        </w:numPr>
        <w:spacing w:after="0" w:line="240" w:lineRule="auto"/>
        <w:jc w:val="both"/>
      </w:pPr>
      <w:r w:rsidRPr="001748F1">
        <w:t>Collaboration with social partners, civil society, and international organizations to support implementation and capacity building.</w:t>
      </w:r>
    </w:p>
    <w:p w14:paraId="3CE52D93" w14:textId="77777777" w:rsidR="004064AB" w:rsidRDefault="004064AB" w:rsidP="004064AB">
      <w:pPr>
        <w:pStyle w:val="Heading2"/>
        <w:spacing w:before="0" w:after="0" w:line="240" w:lineRule="auto"/>
        <w:jc w:val="both"/>
      </w:pPr>
    </w:p>
    <w:p w14:paraId="65AC0750" w14:textId="105F8E5D" w:rsidR="001748F1" w:rsidRPr="001748F1" w:rsidRDefault="001748F1" w:rsidP="004064AB">
      <w:pPr>
        <w:pStyle w:val="Heading2"/>
        <w:spacing w:before="0" w:after="0" w:line="240" w:lineRule="auto"/>
        <w:jc w:val="both"/>
      </w:pPr>
      <w:r>
        <w:t xml:space="preserve">9. </w:t>
      </w:r>
      <w:r w:rsidRPr="001748F1">
        <w:t>Call to Action</w:t>
      </w:r>
    </w:p>
    <w:p w14:paraId="13A16BDF" w14:textId="5427B137" w:rsidR="001748F1" w:rsidRPr="001748F1" w:rsidRDefault="001748F1" w:rsidP="004064AB">
      <w:pPr>
        <w:numPr>
          <w:ilvl w:val="0"/>
          <w:numId w:val="20"/>
        </w:numPr>
        <w:spacing w:after="0" w:line="240" w:lineRule="auto"/>
        <w:jc w:val="both"/>
      </w:pPr>
      <w:r w:rsidRPr="001748F1">
        <w:rPr>
          <w:b/>
          <w:bCs/>
        </w:rPr>
        <w:t>Citizens:</w:t>
      </w:r>
      <w:r w:rsidRPr="001748F1">
        <w:t xml:space="preserve"> Make full use of your local wellness centers, participate in health promotion activities, and share feedback to help us improve.</w:t>
      </w:r>
    </w:p>
    <w:p w14:paraId="32B3FB64" w14:textId="6118B39F" w:rsidR="001748F1" w:rsidRPr="001748F1" w:rsidRDefault="001748F1" w:rsidP="004064AB">
      <w:pPr>
        <w:numPr>
          <w:ilvl w:val="0"/>
          <w:numId w:val="20"/>
        </w:numPr>
        <w:spacing w:after="0" w:line="240" w:lineRule="auto"/>
        <w:jc w:val="both"/>
      </w:pPr>
      <w:r w:rsidRPr="001748F1">
        <w:rPr>
          <w:b/>
          <w:bCs/>
        </w:rPr>
        <w:t>Health providers:</w:t>
      </w:r>
      <w:r w:rsidRPr="001748F1">
        <w:t xml:space="preserve"> Partner with us to deliver high-quality, people-centered care and embrace performance-driven approaches.</w:t>
      </w:r>
    </w:p>
    <w:p w14:paraId="4B47C676" w14:textId="38D733DC" w:rsidR="00261E30" w:rsidRDefault="001748F1" w:rsidP="004064AB">
      <w:pPr>
        <w:numPr>
          <w:ilvl w:val="0"/>
          <w:numId w:val="20"/>
        </w:numPr>
        <w:spacing w:after="0" w:line="240" w:lineRule="auto"/>
        <w:jc w:val="both"/>
      </w:pPr>
      <w:r w:rsidRPr="001748F1">
        <w:rPr>
          <w:b/>
          <w:bCs/>
        </w:rPr>
        <w:t>Public and private partners:</w:t>
      </w:r>
      <w:r w:rsidRPr="001748F1">
        <w:t xml:space="preserve"> Work with the Ministry to support financing, service delivery, and innovations that benefit the whole population.</w:t>
      </w:r>
    </w:p>
    <w:p w14:paraId="37E2AEA6" w14:textId="77777777" w:rsidR="004064AB" w:rsidRPr="000C74A2" w:rsidRDefault="004064AB" w:rsidP="004064AB">
      <w:pPr>
        <w:spacing w:after="0" w:line="240" w:lineRule="auto"/>
        <w:ind w:left="720"/>
        <w:jc w:val="both"/>
      </w:pPr>
    </w:p>
    <w:p w14:paraId="08DB4815" w14:textId="183656B5" w:rsidR="001748F1" w:rsidRPr="001748F1" w:rsidRDefault="008C0A10" w:rsidP="008C0A10">
      <w:pPr>
        <w:jc w:val="both"/>
        <w:rPr>
          <w:b/>
          <w:bCs/>
          <w:i/>
          <w:iCs/>
          <w:color w:val="0070C0"/>
          <w:sz w:val="24"/>
          <w:szCs w:val="24"/>
        </w:rPr>
      </w:pPr>
      <w:r w:rsidRPr="00261E30">
        <w:rPr>
          <w:noProof/>
        </w:rPr>
        <w:drawing>
          <wp:anchor distT="0" distB="0" distL="114300" distR="114300" simplePos="0" relativeHeight="251659264" behindDoc="1" locked="0" layoutInCell="1" allowOverlap="1" wp14:anchorId="47FE2C53" wp14:editId="60673CE8">
            <wp:simplePos x="0" y="0"/>
            <wp:positionH relativeFrom="column">
              <wp:posOffset>3810</wp:posOffset>
            </wp:positionH>
            <wp:positionV relativeFrom="paragraph">
              <wp:posOffset>28575</wp:posOffset>
            </wp:positionV>
            <wp:extent cx="461010" cy="442595"/>
            <wp:effectExtent l="0" t="0" r="0" b="0"/>
            <wp:wrapTight wrapText="bothSides">
              <wp:wrapPolygon edited="0">
                <wp:start x="0" y="0"/>
                <wp:lineTo x="0" y="20453"/>
                <wp:lineTo x="20529" y="20453"/>
                <wp:lineTo x="20529" y="0"/>
                <wp:lineTo x="0" y="0"/>
              </wp:wrapPolygon>
            </wp:wrapTight>
            <wp:docPr id="220" name="Picture 219">
              <a:extLst xmlns:a="http://schemas.openxmlformats.org/drawingml/2006/main">
                <a:ext uri="{FF2B5EF4-FFF2-40B4-BE49-F238E27FC236}">
                  <a16:creationId xmlns:a16="http://schemas.microsoft.com/office/drawing/2014/main" id="{1919042D-C1E8-1B58-3935-84C60F2E172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19">
                      <a:extLst>
                        <a:ext uri="{FF2B5EF4-FFF2-40B4-BE49-F238E27FC236}">
                          <a16:creationId xmlns:a16="http://schemas.microsoft.com/office/drawing/2014/main" id="{1919042D-C1E8-1B58-3935-84C60F2E1722}"/>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1010" cy="442595"/>
                    </a:xfrm>
                    <a:prstGeom prst="rect">
                      <a:avLst/>
                    </a:prstGeom>
                  </pic:spPr>
                </pic:pic>
              </a:graphicData>
            </a:graphic>
            <wp14:sizeRelH relativeFrom="page">
              <wp14:pctWidth>0</wp14:pctWidth>
            </wp14:sizeRelH>
            <wp14:sizeRelV relativeFrom="page">
              <wp14:pctHeight>0</wp14:pctHeight>
            </wp14:sizeRelV>
          </wp:anchor>
        </w:drawing>
      </w:r>
      <w:r w:rsidR="001748F1" w:rsidRPr="001748F1">
        <w:rPr>
          <w:b/>
          <w:bCs/>
          <w:i/>
          <w:iCs/>
          <w:color w:val="0070C0"/>
          <w:sz w:val="24"/>
          <w:szCs w:val="24"/>
        </w:rPr>
        <w:t>Together, we will build a health system that delivers quality care for life—accessible, affordable, and equitable for every person in Saint Lucia.</w:t>
      </w:r>
    </w:p>
    <w:p w14:paraId="5FC6AEF2" w14:textId="6D0B633C" w:rsidR="00C95435" w:rsidRDefault="00C95435">
      <w:r>
        <w:br w:type="page"/>
      </w:r>
    </w:p>
    <w:p w14:paraId="06C5FF13" w14:textId="53AFE086" w:rsidR="00CD0FB1" w:rsidRDefault="00CD0FB1" w:rsidP="008C0A10">
      <w:r w:rsidRPr="00CD0FB1">
        <w:rPr>
          <w:noProof/>
        </w:rPr>
        <w:drawing>
          <wp:inline distT="0" distB="0" distL="0" distR="0" wp14:anchorId="03311CAF" wp14:editId="3CC9EA34">
            <wp:extent cx="5943600" cy="344245"/>
            <wp:effectExtent l="0" t="0" r="0" b="0"/>
            <wp:docPr id="1771954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954221" name=""/>
                    <pic:cNvPicPr/>
                  </pic:nvPicPr>
                  <pic:blipFill>
                    <a:blip r:embed="rId10"/>
                    <a:stretch>
                      <a:fillRect/>
                    </a:stretch>
                  </pic:blipFill>
                  <pic:spPr>
                    <a:xfrm>
                      <a:off x="0" y="0"/>
                      <a:ext cx="5976636" cy="346158"/>
                    </a:xfrm>
                    <a:prstGeom prst="rect">
                      <a:avLst/>
                    </a:prstGeom>
                  </pic:spPr>
                </pic:pic>
              </a:graphicData>
            </a:graphic>
          </wp:inline>
        </w:drawing>
      </w:r>
    </w:p>
    <w:p w14:paraId="3A4A3F52" w14:textId="66DB48E8" w:rsidR="000C74A2" w:rsidRPr="002B2C58" w:rsidRDefault="00BF1B5D" w:rsidP="00BF1B5D">
      <w:pPr>
        <w:pStyle w:val="Heading1"/>
      </w:pPr>
      <w:r>
        <w:t xml:space="preserve">Saint Lucia </w:t>
      </w:r>
      <w:r w:rsidR="000C74A2" w:rsidRPr="002B2C58">
        <w:t>National Health Compact (2025-</w:t>
      </w:r>
      <w:r w:rsidR="002B2C58" w:rsidRPr="002B2C58">
        <w:t xml:space="preserve">2030) </w:t>
      </w:r>
    </w:p>
    <w:p w14:paraId="4DFF911B" w14:textId="109B8BAE" w:rsidR="00A1257D" w:rsidRPr="00A1257D" w:rsidRDefault="00A1257D" w:rsidP="004064AB">
      <w:pPr>
        <w:jc w:val="both"/>
      </w:pPr>
      <w:r w:rsidRPr="00A1257D">
        <w:t>The Government of Saint Lucia has committed to UHC as a national development priority and as the</w:t>
      </w:r>
      <w:r>
        <w:t xml:space="preserve"> </w:t>
      </w:r>
      <w:r w:rsidRPr="00A1257D">
        <w:t>central framework for financing, delivering, and regulating healthcare. Cabinet Conclusion 129 of 2022</w:t>
      </w:r>
      <w:r>
        <w:t xml:space="preserve"> </w:t>
      </w:r>
      <w:r w:rsidRPr="00A1257D">
        <w:t>endorsed the development of a sustainable UHC financing model aimed at reducing out-of-pocket</w:t>
      </w:r>
      <w:r>
        <w:t xml:space="preserve"> </w:t>
      </w:r>
      <w:r w:rsidRPr="00A1257D">
        <w:t>expenditure at the point of care and ensuring equitable access for all citizens.</w:t>
      </w:r>
    </w:p>
    <w:p w14:paraId="1EEAC9DB" w14:textId="4DF2B082" w:rsidR="00CD0FB1" w:rsidRDefault="00A1257D" w:rsidP="004064AB">
      <w:pPr>
        <w:jc w:val="both"/>
      </w:pPr>
      <w:r w:rsidRPr="00A1257D">
        <w:t>Building on early reforms, including the World Bank-supported Performance-Based Financing (PBF)</w:t>
      </w:r>
      <w:r>
        <w:t xml:space="preserve"> </w:t>
      </w:r>
      <w:r w:rsidRPr="00A1257D">
        <w:t>pilot (2023-2025) for hypertension and diabetes across 17 primary-care facilities, the Government</w:t>
      </w:r>
      <w:r>
        <w:t xml:space="preserve"> </w:t>
      </w:r>
      <w:r w:rsidRPr="00A1257D">
        <w:t>will incrementally increase domestic finance for health</w:t>
      </w:r>
      <w:r w:rsidRPr="00A1257D">
        <w:rPr>
          <w:rFonts w:hint="eastAsia"/>
        </w:rPr>
        <w:t>—</w:t>
      </w:r>
      <w:r w:rsidRPr="00A1257D">
        <w:t>progressively increasing annual budgetary</w:t>
      </w:r>
      <w:r>
        <w:t xml:space="preserve"> </w:t>
      </w:r>
      <w:r w:rsidRPr="00A1257D">
        <w:t>allocations from general revenue rising from 2.8% to 4% of GDP by 2030</w:t>
      </w:r>
      <w:r w:rsidRPr="00A1257D">
        <w:rPr>
          <w:rFonts w:hint="eastAsia"/>
        </w:rPr>
        <w:t>—</w:t>
      </w:r>
      <w:r w:rsidRPr="00A1257D">
        <w:t>and transition to an</w:t>
      </w:r>
      <w:r>
        <w:t xml:space="preserve"> </w:t>
      </w:r>
      <w:r w:rsidRPr="00A1257D">
        <w:t>integrated, output-based, and strategically purchased financing system ensuring that every citizen can</w:t>
      </w:r>
      <w:r>
        <w:t xml:space="preserve"> </w:t>
      </w:r>
      <w:r w:rsidRPr="00A1257D">
        <w:t>access essential care without financial hardship. PBF will serve as the primary mechanism for UHC</w:t>
      </w:r>
      <w:r>
        <w:t xml:space="preserve"> </w:t>
      </w:r>
      <w:r w:rsidRPr="00A1257D">
        <w:t>implementation at the PHC level.</w:t>
      </w:r>
    </w:p>
    <w:p w14:paraId="6142F4B6" w14:textId="2FC9886E" w:rsidR="0075319F" w:rsidRDefault="0075319F" w:rsidP="004064AB">
      <w:pPr>
        <w:jc w:val="both"/>
      </w:pPr>
      <w:r w:rsidRPr="0075319F">
        <w:rPr>
          <w:b/>
          <w:bCs/>
        </w:rPr>
        <w:t>To this end the government commits to the following</w:t>
      </w:r>
      <w:r>
        <w:rPr>
          <w:b/>
          <w:bCs/>
        </w:rPr>
        <w:t>:</w:t>
      </w:r>
      <w:r w:rsidR="004064AB">
        <w:t xml:space="preserve"> </w:t>
      </w:r>
    </w:p>
    <w:p w14:paraId="38E56F73" w14:textId="0F5390B9" w:rsidR="0075319F" w:rsidRDefault="0075319F" w:rsidP="004064AB">
      <w:pPr>
        <w:spacing w:after="0" w:line="240" w:lineRule="auto"/>
        <w:jc w:val="both"/>
      </w:pPr>
      <w:r w:rsidRPr="0075319F">
        <w:t xml:space="preserve">• </w:t>
      </w:r>
      <w:r w:rsidRPr="0075319F">
        <w:rPr>
          <w:b/>
          <w:bCs/>
        </w:rPr>
        <w:t>Expand fiscal space and improve</w:t>
      </w:r>
      <w:r w:rsidR="001E38CB">
        <w:rPr>
          <w:b/>
          <w:bCs/>
        </w:rPr>
        <w:t xml:space="preserve"> </w:t>
      </w:r>
      <w:r w:rsidRPr="0075319F">
        <w:rPr>
          <w:b/>
          <w:bCs/>
        </w:rPr>
        <w:t>resource mobilization for health</w:t>
      </w:r>
      <w:r w:rsidRPr="0075319F">
        <w:t xml:space="preserve"> through</w:t>
      </w:r>
      <w:r w:rsidR="001E38CB">
        <w:t xml:space="preserve"> </w:t>
      </w:r>
      <w:r w:rsidRPr="0075319F">
        <w:t>dedicated health taxation</w:t>
      </w:r>
      <w:r w:rsidRPr="0075319F">
        <w:rPr>
          <w:rFonts w:hint="eastAsia"/>
        </w:rPr>
        <w:t>—</w:t>
      </w:r>
      <w:r w:rsidRPr="0075319F">
        <w:t>such as the</w:t>
      </w:r>
      <w:r w:rsidR="001E38CB">
        <w:t xml:space="preserve"> </w:t>
      </w:r>
      <w:r w:rsidRPr="0075319F">
        <w:t>health and security levy</w:t>
      </w:r>
      <w:r w:rsidRPr="0075319F">
        <w:rPr>
          <w:rFonts w:hint="eastAsia"/>
        </w:rPr>
        <w:t>—</w:t>
      </w:r>
      <w:r w:rsidRPr="0075319F">
        <w:t>and by mobilizing</w:t>
      </w:r>
      <w:r w:rsidR="001E38CB">
        <w:t xml:space="preserve"> </w:t>
      </w:r>
      <w:r w:rsidRPr="0075319F">
        <w:t>domestic and external resources to finance</w:t>
      </w:r>
      <w:r w:rsidR="001E38CB">
        <w:t xml:space="preserve"> </w:t>
      </w:r>
      <w:r w:rsidRPr="0075319F">
        <w:t>primary health care while progressively</w:t>
      </w:r>
      <w:r w:rsidR="001E38CB">
        <w:t xml:space="preserve"> </w:t>
      </w:r>
      <w:r w:rsidRPr="0075319F">
        <w:t>reducing household spending.</w:t>
      </w:r>
    </w:p>
    <w:p w14:paraId="12DDB120" w14:textId="77777777" w:rsidR="0075319F" w:rsidRPr="0075319F" w:rsidRDefault="0075319F" w:rsidP="004064AB">
      <w:pPr>
        <w:spacing w:after="0" w:line="240" w:lineRule="auto"/>
        <w:jc w:val="both"/>
      </w:pPr>
    </w:p>
    <w:p w14:paraId="56A7E0C9" w14:textId="03E069C4" w:rsidR="0075319F" w:rsidRDefault="0075319F" w:rsidP="004064AB">
      <w:pPr>
        <w:spacing w:after="0" w:line="240" w:lineRule="auto"/>
        <w:jc w:val="both"/>
      </w:pPr>
      <w:r w:rsidRPr="0075319F">
        <w:t xml:space="preserve">• </w:t>
      </w:r>
      <w:r w:rsidRPr="0075319F">
        <w:rPr>
          <w:b/>
          <w:bCs/>
        </w:rPr>
        <w:t>Establish and operationalize a Universal</w:t>
      </w:r>
      <w:r w:rsidR="001E38CB">
        <w:rPr>
          <w:b/>
          <w:bCs/>
        </w:rPr>
        <w:t xml:space="preserve"> </w:t>
      </w:r>
      <w:r w:rsidRPr="0075319F">
        <w:rPr>
          <w:b/>
          <w:bCs/>
        </w:rPr>
        <w:t>Health Coverage Authority (UHCA)</w:t>
      </w:r>
      <w:r w:rsidRPr="0075319F">
        <w:t xml:space="preserve"> as a</w:t>
      </w:r>
      <w:r w:rsidR="001E38CB">
        <w:t xml:space="preserve"> </w:t>
      </w:r>
      <w:r w:rsidRPr="0075319F">
        <w:t>statutory body responsible for managing</w:t>
      </w:r>
      <w:r w:rsidR="001E38CB">
        <w:t xml:space="preserve"> </w:t>
      </w:r>
      <w:r w:rsidRPr="0075319F">
        <w:t>health financing and strategic purchasing.</w:t>
      </w:r>
    </w:p>
    <w:p w14:paraId="6511ABFC" w14:textId="77777777" w:rsidR="001E38CB" w:rsidRPr="0075319F" w:rsidRDefault="001E38CB" w:rsidP="004064AB">
      <w:pPr>
        <w:spacing w:after="0" w:line="240" w:lineRule="auto"/>
        <w:jc w:val="both"/>
      </w:pPr>
    </w:p>
    <w:p w14:paraId="4D969A4C" w14:textId="164F15F4" w:rsidR="0075319F" w:rsidRPr="0075319F" w:rsidRDefault="0075319F" w:rsidP="004064AB">
      <w:pPr>
        <w:spacing w:after="0" w:line="240" w:lineRule="auto"/>
        <w:jc w:val="both"/>
      </w:pPr>
      <w:r w:rsidRPr="0075319F">
        <w:t>• Implement a national health registration</w:t>
      </w:r>
      <w:r w:rsidR="001E38CB">
        <w:t xml:space="preserve"> </w:t>
      </w:r>
      <w:r w:rsidRPr="0075319F">
        <w:t>system with a unique identifier and</w:t>
      </w:r>
      <w:r w:rsidR="001E38CB">
        <w:t xml:space="preserve"> </w:t>
      </w:r>
      <w:r w:rsidRPr="0075319F">
        <w:t>possible health card, ensuring that every</w:t>
      </w:r>
      <w:r w:rsidR="001E38CB">
        <w:t xml:space="preserve"> </w:t>
      </w:r>
      <w:r w:rsidRPr="0075319F">
        <w:t>citizen and resident is enrolled to access UHC</w:t>
      </w:r>
      <w:r w:rsidR="001E38CB">
        <w:t xml:space="preserve"> </w:t>
      </w:r>
      <w:r w:rsidRPr="0075319F">
        <w:t>benefits, with priority for poor households,</w:t>
      </w:r>
      <w:r w:rsidR="001E38CB">
        <w:t xml:space="preserve"> </w:t>
      </w:r>
      <w:r w:rsidRPr="0075319F">
        <w:t xml:space="preserve">elderly </w:t>
      </w:r>
      <w:proofErr w:type="gramStart"/>
      <w:r w:rsidRPr="0075319F">
        <w:t>persons</w:t>
      </w:r>
      <w:proofErr w:type="gramEnd"/>
      <w:r w:rsidRPr="0075319F">
        <w:t xml:space="preserve">, and </w:t>
      </w:r>
      <w:proofErr w:type="gramStart"/>
      <w:r w:rsidRPr="0075319F">
        <w:t>persons</w:t>
      </w:r>
      <w:proofErr w:type="gramEnd"/>
      <w:r w:rsidRPr="0075319F">
        <w:t xml:space="preserve"> with disabilities.</w:t>
      </w:r>
      <w:r w:rsidR="001E38CB">
        <w:t xml:space="preserve"> </w:t>
      </w:r>
      <w:r w:rsidRPr="0075319F">
        <w:t>The system will also underpin the shift to</w:t>
      </w:r>
    </w:p>
    <w:p w14:paraId="25AA3452" w14:textId="77777777" w:rsidR="0075319F" w:rsidRDefault="0075319F" w:rsidP="004064AB">
      <w:pPr>
        <w:spacing w:after="0" w:line="240" w:lineRule="auto"/>
        <w:jc w:val="both"/>
      </w:pPr>
      <w:r w:rsidRPr="0075319F">
        <w:t>capitation-based PHC financing.</w:t>
      </w:r>
    </w:p>
    <w:p w14:paraId="166437B4" w14:textId="77777777" w:rsidR="0075319F" w:rsidRPr="0075319F" w:rsidRDefault="0075319F" w:rsidP="004064AB">
      <w:pPr>
        <w:spacing w:after="0" w:line="240" w:lineRule="auto"/>
        <w:jc w:val="both"/>
      </w:pPr>
    </w:p>
    <w:p w14:paraId="290856B7" w14:textId="011C467C" w:rsidR="0075319F" w:rsidRPr="0075319F" w:rsidRDefault="0075319F" w:rsidP="004064AB">
      <w:pPr>
        <w:spacing w:after="0" w:line="240" w:lineRule="auto"/>
        <w:jc w:val="both"/>
      </w:pPr>
      <w:r w:rsidRPr="0075319F">
        <w:t xml:space="preserve">• </w:t>
      </w:r>
      <w:r w:rsidRPr="0075319F">
        <w:rPr>
          <w:b/>
          <w:bCs/>
        </w:rPr>
        <w:t>Reform purchasing through population</w:t>
      </w:r>
      <w:r w:rsidRPr="009738FA">
        <w:rPr>
          <w:b/>
          <w:bCs/>
        </w:rPr>
        <w:t>-</w:t>
      </w:r>
      <w:r w:rsidRPr="0075319F">
        <w:rPr>
          <w:b/>
          <w:bCs/>
        </w:rPr>
        <w:t>based</w:t>
      </w:r>
      <w:r w:rsidRPr="009738FA">
        <w:rPr>
          <w:b/>
          <w:bCs/>
        </w:rPr>
        <w:t xml:space="preserve"> </w:t>
      </w:r>
      <w:r w:rsidRPr="0075319F">
        <w:rPr>
          <w:b/>
          <w:bCs/>
        </w:rPr>
        <w:t>resource allocation, strengthened</w:t>
      </w:r>
      <w:r w:rsidR="001E38CB" w:rsidRPr="009738FA">
        <w:rPr>
          <w:b/>
          <w:bCs/>
        </w:rPr>
        <w:t xml:space="preserve"> </w:t>
      </w:r>
      <w:r w:rsidRPr="0075319F">
        <w:rPr>
          <w:b/>
          <w:bCs/>
        </w:rPr>
        <w:t>provider contracting and provider</w:t>
      </w:r>
      <w:r w:rsidR="001E38CB" w:rsidRPr="009738FA">
        <w:rPr>
          <w:b/>
          <w:bCs/>
        </w:rPr>
        <w:t xml:space="preserve"> </w:t>
      </w:r>
      <w:r w:rsidRPr="0075319F">
        <w:rPr>
          <w:b/>
          <w:bCs/>
        </w:rPr>
        <w:t>payment design.</w:t>
      </w:r>
      <w:r w:rsidRPr="0075319F">
        <w:t xml:space="preserve"> At the primary care</w:t>
      </w:r>
      <w:r w:rsidR="001E38CB">
        <w:t xml:space="preserve"> </w:t>
      </w:r>
      <w:r w:rsidRPr="0075319F">
        <w:t>level transition from line-item budgeting to</w:t>
      </w:r>
      <w:r w:rsidR="009738FA">
        <w:t xml:space="preserve"> </w:t>
      </w:r>
      <w:r w:rsidRPr="0075319F">
        <w:t>a population-based and output-based</w:t>
      </w:r>
      <w:r w:rsidR="009738FA">
        <w:t xml:space="preserve"> </w:t>
      </w:r>
      <w:r w:rsidRPr="0075319F">
        <w:t>financing model that ensures equitable</w:t>
      </w:r>
    </w:p>
    <w:p w14:paraId="2CA7441F" w14:textId="1382B931" w:rsidR="0075319F" w:rsidRDefault="0075319F" w:rsidP="004064AB">
      <w:pPr>
        <w:spacing w:after="0" w:line="240" w:lineRule="auto"/>
        <w:jc w:val="both"/>
      </w:pPr>
      <w:r w:rsidRPr="0075319F">
        <w:t>resource allocation across regions and</w:t>
      </w:r>
      <w:r w:rsidR="009738FA">
        <w:t xml:space="preserve"> </w:t>
      </w:r>
      <w:r w:rsidRPr="0075319F">
        <w:t>populations and that rewards performance.</w:t>
      </w:r>
      <w:r w:rsidR="009738FA">
        <w:t xml:space="preserve"> </w:t>
      </w:r>
      <w:r w:rsidRPr="0075319F">
        <w:t>A population-based capitation formula with</w:t>
      </w:r>
      <w:r w:rsidR="009738FA">
        <w:t xml:space="preserve"> </w:t>
      </w:r>
      <w:r w:rsidRPr="0075319F">
        <w:t>adjusters for quality, vulnerability, and</w:t>
      </w:r>
      <w:r w:rsidR="009738FA">
        <w:t xml:space="preserve"> </w:t>
      </w:r>
      <w:r w:rsidRPr="0075319F">
        <w:t>service mix will be developed and applied.</w:t>
      </w:r>
      <w:r w:rsidR="009738FA">
        <w:t xml:space="preserve"> </w:t>
      </w:r>
      <w:r w:rsidRPr="0075319F">
        <w:t>Management agreements with primary</w:t>
      </w:r>
      <w:r w:rsidR="009738FA">
        <w:t xml:space="preserve"> </w:t>
      </w:r>
      <w:r w:rsidRPr="0075319F">
        <w:t>care facilities will be established, based on</w:t>
      </w:r>
      <w:r w:rsidR="00BD7A3F">
        <w:t xml:space="preserve"> </w:t>
      </w:r>
      <w:r w:rsidRPr="0075319F">
        <w:t>testing under the PBF Pilot. For hospitals,</w:t>
      </w:r>
      <w:r w:rsidR="009738FA">
        <w:t xml:space="preserve"> </w:t>
      </w:r>
      <w:r w:rsidRPr="0075319F">
        <w:t>output-based payment mechanisms</w:t>
      </w:r>
      <w:r w:rsidR="00590941">
        <w:rPr>
          <w:rStyle w:val="FootnoteReference"/>
        </w:rPr>
        <w:footnoteReference w:id="2"/>
      </w:r>
      <w:r w:rsidRPr="0075319F">
        <w:t xml:space="preserve"> and</w:t>
      </w:r>
      <w:r w:rsidR="00BD7A3F">
        <w:t xml:space="preserve"> </w:t>
      </w:r>
      <w:r w:rsidRPr="0075319F">
        <w:t>service level agreements will also be piloted</w:t>
      </w:r>
      <w:r w:rsidR="009738FA">
        <w:t xml:space="preserve"> </w:t>
      </w:r>
      <w:r w:rsidRPr="0075319F">
        <w:t>with a focus on results, including quality,</w:t>
      </w:r>
      <w:r w:rsidR="00BD7A3F">
        <w:t xml:space="preserve"> </w:t>
      </w:r>
      <w:r w:rsidRPr="0075319F">
        <w:t>patient satisfaction, and efficiency of service</w:t>
      </w:r>
      <w:r w:rsidR="00BD7A3F">
        <w:t xml:space="preserve"> </w:t>
      </w:r>
      <w:r w:rsidRPr="0075319F">
        <w:t>delivery.</w:t>
      </w:r>
    </w:p>
    <w:p w14:paraId="7C9FDFFA" w14:textId="77777777" w:rsidR="001E38CB" w:rsidRPr="0075319F" w:rsidRDefault="001E38CB" w:rsidP="004064AB">
      <w:pPr>
        <w:spacing w:after="0" w:line="240" w:lineRule="auto"/>
        <w:jc w:val="both"/>
      </w:pPr>
    </w:p>
    <w:p w14:paraId="2C21F0A7" w14:textId="7F773F12" w:rsidR="0075319F" w:rsidRDefault="0075319F" w:rsidP="004064AB">
      <w:pPr>
        <w:spacing w:after="0" w:line="240" w:lineRule="auto"/>
        <w:jc w:val="both"/>
      </w:pPr>
      <w:r w:rsidRPr="0075319F">
        <w:t xml:space="preserve">• </w:t>
      </w:r>
      <w:r w:rsidRPr="0075319F">
        <w:rPr>
          <w:b/>
          <w:bCs/>
        </w:rPr>
        <w:t>Strengthen financial protection through</w:t>
      </w:r>
      <w:r w:rsidR="00590941" w:rsidRPr="00EC2557">
        <w:rPr>
          <w:b/>
          <w:bCs/>
        </w:rPr>
        <w:t xml:space="preserve"> </w:t>
      </w:r>
      <w:r w:rsidRPr="0075319F">
        <w:rPr>
          <w:b/>
          <w:bCs/>
        </w:rPr>
        <w:t>improved purchasing</w:t>
      </w:r>
      <w:r w:rsidRPr="0075319F">
        <w:t>, including by</w:t>
      </w:r>
      <w:r w:rsidR="00590941">
        <w:t xml:space="preserve"> </w:t>
      </w:r>
      <w:r w:rsidRPr="0075319F">
        <w:t>establishing a Health Benefits Package</w:t>
      </w:r>
      <w:r w:rsidR="00590941">
        <w:t xml:space="preserve"> </w:t>
      </w:r>
      <w:r w:rsidRPr="0075319F">
        <w:t>(HBP) defining service entitlements and</w:t>
      </w:r>
      <w:r w:rsidR="00590941">
        <w:t xml:space="preserve"> </w:t>
      </w:r>
      <w:r w:rsidRPr="0075319F">
        <w:t>reimbursement models, and by introducing</w:t>
      </w:r>
      <w:r w:rsidR="00590941">
        <w:t xml:space="preserve"> </w:t>
      </w:r>
      <w:r w:rsidRPr="0075319F">
        <w:t>targeted subsidies or vouchers for</w:t>
      </w:r>
      <w:r w:rsidR="00590941">
        <w:t xml:space="preserve"> </w:t>
      </w:r>
      <w:r w:rsidRPr="0075319F">
        <w:t>vulnerable and low-income groups.</w:t>
      </w:r>
    </w:p>
    <w:p w14:paraId="65BC9121" w14:textId="77777777" w:rsidR="00590941" w:rsidRPr="0075319F" w:rsidRDefault="00590941" w:rsidP="004064AB">
      <w:pPr>
        <w:spacing w:after="0" w:line="240" w:lineRule="auto"/>
        <w:jc w:val="both"/>
      </w:pPr>
    </w:p>
    <w:p w14:paraId="26B53EF8" w14:textId="7595E3B1" w:rsidR="0075319F" w:rsidRPr="0075319F" w:rsidRDefault="0075319F" w:rsidP="004064AB">
      <w:pPr>
        <w:spacing w:after="0" w:line="240" w:lineRule="auto"/>
        <w:jc w:val="both"/>
      </w:pPr>
      <w:r w:rsidRPr="0075319F">
        <w:t xml:space="preserve">• </w:t>
      </w:r>
      <w:r w:rsidRPr="0075319F">
        <w:rPr>
          <w:b/>
          <w:bCs/>
        </w:rPr>
        <w:t>Establish a Universal Disability Support</w:t>
      </w:r>
      <w:r w:rsidR="00BD7A3F" w:rsidRPr="00EC2557">
        <w:rPr>
          <w:b/>
          <w:bCs/>
        </w:rPr>
        <w:t xml:space="preserve"> </w:t>
      </w:r>
      <w:r w:rsidRPr="0075319F">
        <w:rPr>
          <w:b/>
          <w:bCs/>
        </w:rPr>
        <w:t xml:space="preserve">allowance to cover basic </w:t>
      </w:r>
      <w:r w:rsidR="00BD7A3F" w:rsidRPr="00EC2557">
        <w:rPr>
          <w:b/>
          <w:bCs/>
        </w:rPr>
        <w:t xml:space="preserve">disability-related </w:t>
      </w:r>
      <w:r w:rsidRPr="0075319F">
        <w:rPr>
          <w:b/>
          <w:bCs/>
        </w:rPr>
        <w:t>costs.</w:t>
      </w:r>
      <w:r w:rsidRPr="0075319F">
        <w:t xml:space="preserve"> This would include</w:t>
      </w:r>
      <w:r w:rsidR="00BD7A3F">
        <w:t xml:space="preserve"> </w:t>
      </w:r>
      <w:r w:rsidRPr="0075319F">
        <w:t>healthcare coverage, basic income security</w:t>
      </w:r>
      <w:r w:rsidR="00BD7A3F">
        <w:t xml:space="preserve"> </w:t>
      </w:r>
      <w:r w:rsidRPr="0075319F">
        <w:t>in the form of cash, and a combination of</w:t>
      </w:r>
    </w:p>
    <w:p w14:paraId="123D843E" w14:textId="77777777" w:rsidR="0075319F" w:rsidRDefault="0075319F" w:rsidP="004064AB">
      <w:pPr>
        <w:spacing w:after="0" w:line="240" w:lineRule="auto"/>
        <w:jc w:val="both"/>
      </w:pPr>
      <w:r w:rsidRPr="0075319F">
        <w:t>in-kind support and services.</w:t>
      </w:r>
    </w:p>
    <w:p w14:paraId="3A47A02C" w14:textId="77777777" w:rsidR="001E38CB" w:rsidRPr="0075319F" w:rsidRDefault="001E38CB" w:rsidP="004064AB">
      <w:pPr>
        <w:spacing w:after="0" w:line="240" w:lineRule="auto"/>
        <w:jc w:val="both"/>
      </w:pPr>
    </w:p>
    <w:p w14:paraId="6AB9FD22" w14:textId="1B6B22A0" w:rsidR="0075319F" w:rsidRDefault="0075319F" w:rsidP="004064AB">
      <w:pPr>
        <w:spacing w:after="0" w:line="240" w:lineRule="auto"/>
        <w:jc w:val="both"/>
      </w:pPr>
      <w:r w:rsidRPr="0075319F">
        <w:t xml:space="preserve">• </w:t>
      </w:r>
      <w:r w:rsidRPr="0075319F">
        <w:rPr>
          <w:b/>
          <w:bCs/>
        </w:rPr>
        <w:t>Strengthen access to quality care and</w:t>
      </w:r>
      <w:r w:rsidR="00590941" w:rsidRPr="004064AB">
        <w:rPr>
          <w:b/>
          <w:bCs/>
        </w:rPr>
        <w:t xml:space="preserve"> </w:t>
      </w:r>
      <w:r w:rsidRPr="0075319F">
        <w:rPr>
          <w:b/>
          <w:bCs/>
        </w:rPr>
        <w:t>improve financial protection by</w:t>
      </w:r>
      <w:r w:rsidR="00590941" w:rsidRPr="004064AB">
        <w:rPr>
          <w:b/>
          <w:bCs/>
        </w:rPr>
        <w:t xml:space="preserve"> </w:t>
      </w:r>
      <w:r w:rsidRPr="0075319F">
        <w:rPr>
          <w:b/>
          <w:bCs/>
        </w:rPr>
        <w:t>improving the affordability of medicines</w:t>
      </w:r>
      <w:r w:rsidR="00590941" w:rsidRPr="004064AB">
        <w:rPr>
          <w:b/>
          <w:bCs/>
        </w:rPr>
        <w:t xml:space="preserve"> </w:t>
      </w:r>
      <w:r w:rsidRPr="0075319F">
        <w:rPr>
          <w:b/>
          <w:bCs/>
        </w:rPr>
        <w:t>and diagnostics through strategic</w:t>
      </w:r>
      <w:r w:rsidR="00590941" w:rsidRPr="004064AB">
        <w:rPr>
          <w:b/>
          <w:bCs/>
        </w:rPr>
        <w:t xml:space="preserve"> </w:t>
      </w:r>
      <w:r w:rsidRPr="0075319F">
        <w:rPr>
          <w:b/>
          <w:bCs/>
        </w:rPr>
        <w:t>purchasing and regional cooperation</w:t>
      </w:r>
      <w:r w:rsidRPr="0075319F">
        <w:t>,</w:t>
      </w:r>
      <w:r w:rsidR="00590941">
        <w:t xml:space="preserve"> </w:t>
      </w:r>
      <w:r w:rsidRPr="0075319F">
        <w:t>including expanded pooled procurement</w:t>
      </w:r>
      <w:r w:rsidR="00590941">
        <w:t xml:space="preserve"> </w:t>
      </w:r>
      <w:r w:rsidRPr="0075319F">
        <w:t>through OECS, CARICOM and other</w:t>
      </w:r>
      <w:r w:rsidR="00590941">
        <w:t xml:space="preserve"> </w:t>
      </w:r>
      <w:r w:rsidRPr="0075319F">
        <w:t>mechanisms, and piloting of price-volume</w:t>
      </w:r>
      <w:r w:rsidR="00590941">
        <w:t xml:space="preserve"> </w:t>
      </w:r>
      <w:r w:rsidRPr="0075319F">
        <w:t xml:space="preserve">and managed entry agreements for </w:t>
      </w:r>
      <w:r w:rsidR="001E38CB" w:rsidRPr="0075319F">
        <w:t>low</w:t>
      </w:r>
      <w:r w:rsidR="001E38CB">
        <w:t>-</w:t>
      </w:r>
      <w:r w:rsidR="001E38CB" w:rsidRPr="0075319F">
        <w:t>volume</w:t>
      </w:r>
      <w:r w:rsidR="001E38CB">
        <w:t xml:space="preserve"> </w:t>
      </w:r>
      <w:r w:rsidRPr="0075319F">
        <w:t>and high-cost medicines.</w:t>
      </w:r>
    </w:p>
    <w:p w14:paraId="5556D4BB" w14:textId="77777777" w:rsidR="001E38CB" w:rsidRPr="0075319F" w:rsidRDefault="001E38CB" w:rsidP="004064AB">
      <w:pPr>
        <w:spacing w:after="0" w:line="240" w:lineRule="auto"/>
        <w:jc w:val="both"/>
      </w:pPr>
    </w:p>
    <w:p w14:paraId="55457F24" w14:textId="074C09BD" w:rsidR="0075319F" w:rsidRDefault="0075319F" w:rsidP="004064AB">
      <w:pPr>
        <w:spacing w:after="0" w:line="240" w:lineRule="auto"/>
        <w:jc w:val="both"/>
      </w:pPr>
      <w:r w:rsidRPr="0075319F">
        <w:t xml:space="preserve">• </w:t>
      </w:r>
      <w:r w:rsidRPr="0075319F">
        <w:rPr>
          <w:b/>
          <w:bCs/>
        </w:rPr>
        <w:t>Strengthen health financing data, analysis,</w:t>
      </w:r>
      <w:r w:rsidR="00590941" w:rsidRPr="004064AB">
        <w:rPr>
          <w:b/>
          <w:bCs/>
        </w:rPr>
        <w:t xml:space="preserve"> </w:t>
      </w:r>
      <w:r w:rsidRPr="0075319F">
        <w:rPr>
          <w:b/>
          <w:bCs/>
        </w:rPr>
        <w:t xml:space="preserve">and transparency </w:t>
      </w:r>
      <w:r w:rsidRPr="0075319F">
        <w:t>by institutionalizing</w:t>
      </w:r>
      <w:r w:rsidR="00590941" w:rsidRPr="004064AB">
        <w:t xml:space="preserve"> </w:t>
      </w:r>
      <w:r w:rsidRPr="0075319F">
        <w:t>National Health Accounts (NHA) production</w:t>
      </w:r>
      <w:r w:rsidR="00590941">
        <w:t xml:space="preserve"> </w:t>
      </w:r>
      <w:r w:rsidRPr="0075319F">
        <w:t>and dissemination and establishing a digital</w:t>
      </w:r>
      <w:r w:rsidR="00590941">
        <w:t xml:space="preserve"> </w:t>
      </w:r>
      <w:r w:rsidRPr="0075319F">
        <w:t>Health Financing Dashboard integrating HFPS,</w:t>
      </w:r>
      <w:r w:rsidR="001E38CB">
        <w:t xml:space="preserve"> </w:t>
      </w:r>
      <w:r w:rsidRPr="0075319F">
        <w:t>PBF, and expenditure data.</w:t>
      </w:r>
    </w:p>
    <w:p w14:paraId="7B77344B" w14:textId="77777777" w:rsidR="0075319F" w:rsidRDefault="0075319F" w:rsidP="008C0A10"/>
    <w:p w14:paraId="24E82B42" w14:textId="77777777" w:rsidR="004064AB" w:rsidRDefault="004064AB" w:rsidP="008C0A10">
      <w:pPr>
        <w:sectPr w:rsidR="004064AB" w:rsidSect="001E38CB">
          <w:footerReference w:type="even" r:id="rId11"/>
          <w:footerReference w:type="default" r:id="rId12"/>
          <w:footerReference w:type="first" r:id="rId13"/>
          <w:type w:val="continuous"/>
          <w:pgSz w:w="12240" w:h="15840"/>
          <w:pgMar w:top="810" w:right="1440" w:bottom="1440" w:left="1440" w:header="720" w:footer="720" w:gutter="0"/>
          <w:cols w:space="720"/>
          <w:docGrid w:linePitch="360"/>
        </w:sectPr>
      </w:pPr>
    </w:p>
    <w:p w14:paraId="503D6B00" w14:textId="07944DF9" w:rsidR="00CD0FB1" w:rsidRDefault="00CD0FB1" w:rsidP="008C0A10">
      <w:r w:rsidRPr="00CD0FB1">
        <w:rPr>
          <w:noProof/>
        </w:rPr>
        <w:drawing>
          <wp:inline distT="0" distB="0" distL="0" distR="0" wp14:anchorId="56886F31" wp14:editId="19316EDD">
            <wp:extent cx="5943600" cy="355003"/>
            <wp:effectExtent l="0" t="0" r="0" b="6985"/>
            <wp:docPr id="1348390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390118" name=""/>
                    <pic:cNvPicPr/>
                  </pic:nvPicPr>
                  <pic:blipFill>
                    <a:blip r:embed="rId10"/>
                    <a:stretch>
                      <a:fillRect/>
                    </a:stretch>
                  </pic:blipFill>
                  <pic:spPr>
                    <a:xfrm>
                      <a:off x="0" y="0"/>
                      <a:ext cx="5988424" cy="357680"/>
                    </a:xfrm>
                    <a:prstGeom prst="rect">
                      <a:avLst/>
                    </a:prstGeom>
                  </pic:spPr>
                </pic:pic>
              </a:graphicData>
            </a:graphic>
          </wp:inline>
        </w:drawing>
      </w:r>
    </w:p>
    <w:p w14:paraId="2573F53C" w14:textId="77777777" w:rsidR="003528B7" w:rsidRDefault="003528B7" w:rsidP="008C0A10"/>
    <w:sectPr w:rsidR="003528B7" w:rsidSect="0075319F">
      <w:type w:val="continuous"/>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530CE" w14:textId="77777777" w:rsidR="00DE2DC0" w:rsidRDefault="00DE2DC0" w:rsidP="00CD0FB1">
      <w:pPr>
        <w:spacing w:after="0" w:line="240" w:lineRule="auto"/>
      </w:pPr>
      <w:r>
        <w:separator/>
      </w:r>
    </w:p>
  </w:endnote>
  <w:endnote w:type="continuationSeparator" w:id="0">
    <w:p w14:paraId="37903E54" w14:textId="77777777" w:rsidR="00DE2DC0" w:rsidRDefault="00DE2DC0" w:rsidP="00CD0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5E78D" w14:textId="60C4A659" w:rsidR="00CD0FB1" w:rsidRDefault="00CD0FB1">
    <w:pPr>
      <w:pStyle w:val="Footer"/>
    </w:pPr>
    <w:r>
      <w:rPr>
        <w:noProof/>
      </w:rPr>
      <mc:AlternateContent>
        <mc:Choice Requires="wps">
          <w:drawing>
            <wp:anchor distT="0" distB="0" distL="0" distR="0" simplePos="0" relativeHeight="251660288" behindDoc="0" locked="0" layoutInCell="1" allowOverlap="1" wp14:anchorId="732E9625" wp14:editId="4EED0B7E">
              <wp:simplePos x="635" y="635"/>
              <wp:positionH relativeFrom="page">
                <wp:align>right</wp:align>
              </wp:positionH>
              <wp:positionV relativeFrom="page">
                <wp:align>bottom</wp:align>
              </wp:positionV>
              <wp:extent cx="1170305" cy="357505"/>
              <wp:effectExtent l="0" t="0" r="0" b="0"/>
              <wp:wrapNone/>
              <wp:docPr id="2045390623"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16561317" w14:textId="7F270EA0" w:rsidR="00CD0FB1" w:rsidRPr="00CD0FB1" w:rsidRDefault="00CD0FB1" w:rsidP="00CD0FB1">
                          <w:pPr>
                            <w:spacing w:after="0"/>
                            <w:rPr>
                              <w:rFonts w:ascii="Aptos" w:eastAsia="Aptos" w:hAnsi="Aptos" w:cs="Aptos"/>
                              <w:noProof/>
                              <w:color w:val="000000"/>
                              <w:sz w:val="20"/>
                              <w:szCs w:val="20"/>
                            </w:rPr>
                          </w:pPr>
                          <w:r w:rsidRPr="00CD0FB1">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2E9625" id="_x0000_t202" coordsize="21600,21600" o:spt="202" path="m,l,21600r21600,l21600,xe">
              <v:stroke joinstyle="miter"/>
              <v:path gradientshapeok="t" o:connecttype="rect"/>
            </v:shapetype>
            <v:shape id="Text Box 2" o:spid="_x0000_s1026" type="#_x0000_t202" alt="Official Use Only" style="position:absolute;margin-left:40.95pt;margin-top:0;width:92.15pt;height:28.1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" filled="f" stroked="f">
              <v:textbox style="mso-fit-shape-to-text:t" inset="0,0,20pt,15pt">
                <w:txbxContent>
                  <w:p w14:paraId="16561317" w14:textId="7F270EA0" w:rsidR="00CD0FB1" w:rsidRPr="00CD0FB1" w:rsidRDefault="00CD0FB1" w:rsidP="00CD0FB1">
                    <w:pPr>
                      <w:spacing w:after="0"/>
                      <w:rPr>
                        <w:rFonts w:ascii="Aptos" w:eastAsia="Aptos" w:hAnsi="Aptos" w:cs="Aptos"/>
                        <w:noProof/>
                        <w:color w:val="000000"/>
                        <w:sz w:val="20"/>
                        <w:szCs w:val="20"/>
                      </w:rPr>
                    </w:pPr>
                    <w:r w:rsidRPr="00CD0FB1">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D9FD2" w14:textId="585999D6" w:rsidR="00CD0FB1" w:rsidRDefault="00CD0FB1">
    <w:pPr>
      <w:pStyle w:val="Footer"/>
      <w:jc w:val="center"/>
    </w:pPr>
    <w:r>
      <w:rPr>
        <w:noProof/>
      </w:rPr>
      <mc:AlternateContent>
        <mc:Choice Requires="wps">
          <w:drawing>
            <wp:anchor distT="0" distB="0" distL="0" distR="0" simplePos="0" relativeHeight="251668480" behindDoc="0" locked="0" layoutInCell="1" allowOverlap="1" wp14:anchorId="006F9604" wp14:editId="64A03FF0">
              <wp:simplePos x="914400" y="9266830"/>
              <wp:positionH relativeFrom="page">
                <wp:align>right</wp:align>
              </wp:positionH>
              <wp:positionV relativeFrom="page">
                <wp:align>bottom</wp:align>
              </wp:positionV>
              <wp:extent cx="1170305" cy="357505"/>
              <wp:effectExtent l="0" t="0" r="0" b="0"/>
              <wp:wrapNone/>
              <wp:docPr id="1917964209"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1ADFCBF8" w14:textId="16A0A317" w:rsidR="00CD0FB1" w:rsidRPr="00CD0FB1" w:rsidRDefault="00CD0FB1" w:rsidP="00CD0FB1">
                          <w:pPr>
                            <w:spacing w:after="0"/>
                            <w:rPr>
                              <w:rFonts w:ascii="Aptos" w:eastAsia="Aptos" w:hAnsi="Aptos" w:cs="Aptos"/>
                              <w:noProof/>
                              <w:color w:val="000000"/>
                              <w:sz w:val="20"/>
                              <w:szCs w:val="20"/>
                            </w:rPr>
                          </w:pPr>
                          <w:r w:rsidRPr="00CD0FB1">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06F9604" id="_x0000_t202" coordsize="21600,21600" o:spt="202" path="m,l,21600r21600,l21600,xe">
              <v:stroke joinstyle="miter"/>
              <v:path gradientshapeok="t" o:connecttype="rect"/>
            </v:shapetype>
            <v:shape id="Text Box 3" o:spid="_x0000_s1027" type="#_x0000_t202" alt="Official Use Only" style="position:absolute;left:0;text-align:left;margin-left:40.95pt;margin-top:0;width:92.15pt;height:28.15pt;z-index:2516684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" filled="f" stroked="f">
              <v:textbox style="mso-fit-shape-to-text:t" inset="0,0,20pt,15pt">
                <w:txbxContent>
                  <w:p w14:paraId="1ADFCBF8" w14:textId="16A0A317" w:rsidR="00CD0FB1" w:rsidRPr="00CD0FB1" w:rsidRDefault="00CD0FB1" w:rsidP="00CD0FB1">
                    <w:pPr>
                      <w:spacing w:after="0"/>
                      <w:rPr>
                        <w:rFonts w:ascii="Aptos" w:eastAsia="Aptos" w:hAnsi="Aptos" w:cs="Aptos"/>
                        <w:noProof/>
                        <w:color w:val="000000"/>
                        <w:sz w:val="20"/>
                        <w:szCs w:val="20"/>
                      </w:rPr>
                    </w:pPr>
                    <w:r w:rsidRPr="00CD0FB1">
                      <w:rPr>
                        <w:rFonts w:ascii="Aptos" w:eastAsia="Aptos" w:hAnsi="Aptos" w:cs="Aptos"/>
                        <w:noProof/>
                        <w:color w:val="000000"/>
                        <w:sz w:val="20"/>
                        <w:szCs w:val="20"/>
                      </w:rPr>
                      <w:t>Official Use Only</w:t>
                    </w:r>
                  </w:p>
                </w:txbxContent>
              </v:textbox>
              <w10:wrap anchorx="page" anchory="page"/>
            </v:shape>
          </w:pict>
        </mc:Fallback>
      </mc:AlternateContent>
    </w:r>
    <w:sdt>
      <w:sdtPr>
        <w:id w:val="-43452116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3B81033" w14:textId="77777777" w:rsidR="00CD0FB1" w:rsidRDefault="00CD0F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9F35E" w14:textId="4F902265" w:rsidR="00CD0FB1" w:rsidRDefault="00CD0FB1">
    <w:pPr>
      <w:pStyle w:val="Footer"/>
    </w:pPr>
    <w:r>
      <w:rPr>
        <w:noProof/>
      </w:rPr>
      <mc:AlternateContent>
        <mc:Choice Requires="wps">
          <w:drawing>
            <wp:anchor distT="0" distB="0" distL="0" distR="0" simplePos="0" relativeHeight="251652096" behindDoc="0" locked="0" layoutInCell="1" allowOverlap="1" wp14:anchorId="67846F54" wp14:editId="3831F5A7">
              <wp:simplePos x="635" y="635"/>
              <wp:positionH relativeFrom="page">
                <wp:align>right</wp:align>
              </wp:positionH>
              <wp:positionV relativeFrom="page">
                <wp:align>bottom</wp:align>
              </wp:positionV>
              <wp:extent cx="1170305" cy="357505"/>
              <wp:effectExtent l="0" t="0" r="0" b="0"/>
              <wp:wrapNone/>
              <wp:docPr id="111542818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70305" cy="357505"/>
                      </a:xfrm>
                      <a:prstGeom prst="rect">
                        <a:avLst/>
                      </a:prstGeom>
                      <a:noFill/>
                      <a:ln>
                        <a:noFill/>
                      </a:ln>
                    </wps:spPr>
                    <wps:txbx>
                      <w:txbxContent>
                        <w:p w14:paraId="3520DF60" w14:textId="492622DE" w:rsidR="00CD0FB1" w:rsidRPr="00CD0FB1" w:rsidRDefault="00CD0FB1" w:rsidP="00CD0FB1">
                          <w:pPr>
                            <w:spacing w:after="0"/>
                            <w:rPr>
                              <w:rFonts w:ascii="Aptos" w:eastAsia="Aptos" w:hAnsi="Aptos" w:cs="Aptos"/>
                              <w:noProof/>
                              <w:color w:val="000000"/>
                              <w:sz w:val="20"/>
                              <w:szCs w:val="20"/>
                            </w:rPr>
                          </w:pPr>
                          <w:r w:rsidRPr="00CD0FB1">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7846F54" id="_x0000_t202" coordsize="21600,21600" o:spt="202" path="m,l,21600r21600,l21600,xe">
              <v:stroke joinstyle="miter"/>
              <v:path gradientshapeok="t" o:connecttype="rect"/>
            </v:shapetype>
            <v:shape id="Text Box 1" o:spid="_x0000_s1028" type="#_x0000_t202" alt="Official Use Only" style="position:absolute;margin-left:40.95pt;margin-top:0;width:92.15pt;height:28.15pt;z-index:2516520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" filled="f" stroked="f">
              <v:textbox style="mso-fit-shape-to-text:t" inset="0,0,20pt,15pt">
                <w:txbxContent>
                  <w:p w14:paraId="3520DF60" w14:textId="492622DE" w:rsidR="00CD0FB1" w:rsidRPr="00CD0FB1" w:rsidRDefault="00CD0FB1" w:rsidP="00CD0FB1">
                    <w:pPr>
                      <w:spacing w:after="0"/>
                      <w:rPr>
                        <w:rFonts w:ascii="Aptos" w:eastAsia="Aptos" w:hAnsi="Aptos" w:cs="Aptos"/>
                        <w:noProof/>
                        <w:color w:val="000000"/>
                        <w:sz w:val="20"/>
                        <w:szCs w:val="20"/>
                      </w:rPr>
                    </w:pPr>
                    <w:r w:rsidRPr="00CD0FB1">
                      <w:rPr>
                        <w:rFonts w:ascii="Aptos" w:eastAsia="Aptos" w:hAnsi="Aptos" w:cs="Aptos"/>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1811B" w14:textId="77777777" w:rsidR="00DE2DC0" w:rsidRDefault="00DE2DC0" w:rsidP="00CD0FB1">
      <w:pPr>
        <w:spacing w:after="0" w:line="240" w:lineRule="auto"/>
      </w:pPr>
      <w:r>
        <w:separator/>
      </w:r>
    </w:p>
  </w:footnote>
  <w:footnote w:type="continuationSeparator" w:id="0">
    <w:p w14:paraId="65AB8848" w14:textId="77777777" w:rsidR="00DE2DC0" w:rsidRDefault="00DE2DC0" w:rsidP="00CD0FB1">
      <w:pPr>
        <w:spacing w:after="0" w:line="240" w:lineRule="auto"/>
      </w:pPr>
      <w:r>
        <w:continuationSeparator/>
      </w:r>
    </w:p>
  </w:footnote>
  <w:footnote w:id="1">
    <w:p w14:paraId="76254907" w14:textId="025EF879" w:rsidR="007A363B" w:rsidRDefault="007A363B" w:rsidP="00DE1F7D">
      <w:pPr>
        <w:pStyle w:val="FootnoteText"/>
        <w:jc w:val="both"/>
      </w:pPr>
      <w:r>
        <w:rPr>
          <w:rStyle w:val="FootnoteReference"/>
        </w:rPr>
        <w:footnoteRef/>
      </w:r>
      <w:r>
        <w:t xml:space="preserve"> The MOHWN is grateful for grant financing </w:t>
      </w:r>
      <w:r w:rsidR="00DE1F7D">
        <w:t xml:space="preserve">from the </w:t>
      </w:r>
      <w:r>
        <w:rPr>
          <w:sz w:val="22"/>
          <w:szCs w:val="22"/>
        </w:rPr>
        <w:t>Korea World Bank Partnership Facility (KWPF</w:t>
      </w:r>
      <w:r w:rsidR="00DE1F7D">
        <w:rPr>
          <w:sz w:val="22"/>
          <w:szCs w:val="22"/>
        </w:rPr>
        <w:t xml:space="preserve">) which contributed to the </w:t>
      </w:r>
      <w:r w:rsidR="00A81E5D">
        <w:rPr>
          <w:sz w:val="22"/>
          <w:szCs w:val="22"/>
        </w:rPr>
        <w:t>development of the HFPS.</w:t>
      </w:r>
    </w:p>
  </w:footnote>
  <w:footnote w:id="2">
    <w:p w14:paraId="68B8C0FB" w14:textId="77777777" w:rsidR="00590941" w:rsidRPr="00590941" w:rsidRDefault="00590941" w:rsidP="00590941">
      <w:pPr>
        <w:spacing w:after="0" w:line="240" w:lineRule="auto"/>
        <w:jc w:val="both"/>
        <w:rPr>
          <w:sz w:val="20"/>
          <w:szCs w:val="20"/>
        </w:rPr>
      </w:pPr>
      <w:r w:rsidRPr="00590941">
        <w:rPr>
          <w:rStyle w:val="FootnoteReference"/>
          <w:sz w:val="20"/>
          <w:szCs w:val="20"/>
        </w:rPr>
        <w:footnoteRef/>
      </w:r>
      <w:r w:rsidRPr="00590941">
        <w:rPr>
          <w:sz w:val="20"/>
          <w:szCs w:val="20"/>
        </w:rPr>
        <w:t xml:space="preserve"> </w:t>
      </w:r>
      <w:r w:rsidRPr="0075319F">
        <w:rPr>
          <w:sz w:val="20"/>
          <w:szCs w:val="20"/>
        </w:rPr>
        <w:t>For example, case-based payment such as diagnostic-related</w:t>
      </w:r>
      <w:r w:rsidRPr="00590941">
        <w:rPr>
          <w:sz w:val="20"/>
          <w:szCs w:val="20"/>
        </w:rPr>
        <w:t xml:space="preserve"> </w:t>
      </w:r>
      <w:r w:rsidRPr="0075319F">
        <w:rPr>
          <w:sz w:val="20"/>
          <w:szCs w:val="20"/>
        </w:rPr>
        <w:t>groups (DRG) payment, and bundled provider payment, which</w:t>
      </w:r>
      <w:r w:rsidRPr="00590941">
        <w:rPr>
          <w:sz w:val="20"/>
          <w:szCs w:val="20"/>
        </w:rPr>
        <w:t xml:space="preserve"> </w:t>
      </w:r>
      <w:r w:rsidRPr="0075319F">
        <w:rPr>
          <w:sz w:val="20"/>
          <w:szCs w:val="20"/>
        </w:rPr>
        <w:t>aims to incentivize optimal health care service production and</w:t>
      </w:r>
      <w:r w:rsidRPr="00590941">
        <w:rPr>
          <w:sz w:val="20"/>
          <w:szCs w:val="20"/>
        </w:rPr>
        <w:t xml:space="preserve"> spending across PHC and hospital levels.</w:t>
      </w:r>
    </w:p>
    <w:p w14:paraId="0EF82918" w14:textId="12D04350" w:rsidR="00590941" w:rsidRDefault="0059094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251A0"/>
    <w:multiLevelType w:val="multilevel"/>
    <w:tmpl w:val="5A166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B4792D"/>
    <w:multiLevelType w:val="multilevel"/>
    <w:tmpl w:val="08CE1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A513B6"/>
    <w:multiLevelType w:val="multilevel"/>
    <w:tmpl w:val="CAEAE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1671A"/>
    <w:multiLevelType w:val="multilevel"/>
    <w:tmpl w:val="17F2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A072A4"/>
    <w:multiLevelType w:val="multilevel"/>
    <w:tmpl w:val="8C180D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52701D"/>
    <w:multiLevelType w:val="multilevel"/>
    <w:tmpl w:val="D098E8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871277"/>
    <w:multiLevelType w:val="multilevel"/>
    <w:tmpl w:val="3F56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D24B7D"/>
    <w:multiLevelType w:val="multilevel"/>
    <w:tmpl w:val="90E4F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421228"/>
    <w:multiLevelType w:val="multilevel"/>
    <w:tmpl w:val="7B26C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2571AE"/>
    <w:multiLevelType w:val="multilevel"/>
    <w:tmpl w:val="ED72E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468098">
    <w:abstractNumId w:val="0"/>
  </w:num>
  <w:num w:numId="2" w16cid:durableId="1926986729">
    <w:abstractNumId w:val="2"/>
  </w:num>
  <w:num w:numId="3" w16cid:durableId="871260920">
    <w:abstractNumId w:val="5"/>
  </w:num>
  <w:num w:numId="4" w16cid:durableId="1945840542">
    <w:abstractNumId w:val="5"/>
    <w:lvlOverride w:ilvl="1">
      <w:lvl w:ilvl="1">
        <w:numFmt w:val="bullet"/>
        <w:lvlText w:val=""/>
        <w:lvlJc w:val="left"/>
        <w:pPr>
          <w:tabs>
            <w:tab w:val="num" w:pos="1440"/>
          </w:tabs>
          <w:ind w:left="1440" w:hanging="360"/>
        </w:pPr>
        <w:rPr>
          <w:rFonts w:ascii="Symbol" w:hAnsi="Symbol" w:hint="default"/>
          <w:sz w:val="20"/>
        </w:rPr>
      </w:lvl>
    </w:lvlOverride>
  </w:num>
  <w:num w:numId="5" w16cid:durableId="1947423538">
    <w:abstractNumId w:val="5"/>
    <w:lvlOverride w:ilvl="1">
      <w:lvl w:ilvl="1">
        <w:numFmt w:val="bullet"/>
        <w:lvlText w:val=""/>
        <w:lvlJc w:val="left"/>
        <w:pPr>
          <w:tabs>
            <w:tab w:val="num" w:pos="1440"/>
          </w:tabs>
          <w:ind w:left="1440" w:hanging="360"/>
        </w:pPr>
        <w:rPr>
          <w:rFonts w:ascii="Symbol" w:hAnsi="Symbol" w:hint="default"/>
          <w:sz w:val="20"/>
        </w:rPr>
      </w:lvl>
    </w:lvlOverride>
  </w:num>
  <w:num w:numId="6" w16cid:durableId="1924219556">
    <w:abstractNumId w:val="9"/>
  </w:num>
  <w:num w:numId="7" w16cid:durableId="133521697">
    <w:abstractNumId w:val="4"/>
  </w:num>
  <w:num w:numId="8" w16cid:durableId="354619861">
    <w:abstractNumId w:val="4"/>
    <w:lvlOverride w:ilvl="1">
      <w:lvl w:ilvl="1">
        <w:numFmt w:val="bullet"/>
        <w:lvlText w:val=""/>
        <w:lvlJc w:val="left"/>
        <w:pPr>
          <w:tabs>
            <w:tab w:val="num" w:pos="1440"/>
          </w:tabs>
          <w:ind w:left="1440" w:hanging="360"/>
        </w:pPr>
        <w:rPr>
          <w:rFonts w:ascii="Symbol" w:hAnsi="Symbol" w:hint="default"/>
          <w:sz w:val="20"/>
        </w:rPr>
      </w:lvl>
    </w:lvlOverride>
  </w:num>
  <w:num w:numId="9" w16cid:durableId="1775634284">
    <w:abstractNumId w:val="4"/>
    <w:lvlOverride w:ilvl="1">
      <w:lvl w:ilvl="1">
        <w:numFmt w:val="bullet"/>
        <w:lvlText w:val=""/>
        <w:lvlJc w:val="left"/>
        <w:pPr>
          <w:tabs>
            <w:tab w:val="num" w:pos="1440"/>
          </w:tabs>
          <w:ind w:left="1440" w:hanging="360"/>
        </w:pPr>
        <w:rPr>
          <w:rFonts w:ascii="Symbol" w:hAnsi="Symbol" w:hint="default"/>
          <w:sz w:val="20"/>
        </w:rPr>
      </w:lvl>
    </w:lvlOverride>
  </w:num>
  <w:num w:numId="10" w16cid:durableId="2103837477">
    <w:abstractNumId w:val="4"/>
    <w:lvlOverride w:ilvl="1">
      <w:lvl w:ilvl="1">
        <w:numFmt w:val="bullet"/>
        <w:lvlText w:val=""/>
        <w:lvlJc w:val="left"/>
        <w:pPr>
          <w:tabs>
            <w:tab w:val="num" w:pos="1440"/>
          </w:tabs>
          <w:ind w:left="1440" w:hanging="360"/>
        </w:pPr>
        <w:rPr>
          <w:rFonts w:ascii="Symbol" w:hAnsi="Symbol" w:hint="default"/>
          <w:sz w:val="20"/>
        </w:rPr>
      </w:lvl>
    </w:lvlOverride>
  </w:num>
  <w:num w:numId="11" w16cid:durableId="1445343524">
    <w:abstractNumId w:val="4"/>
    <w:lvlOverride w:ilvl="1">
      <w:lvl w:ilvl="1">
        <w:numFmt w:val="bullet"/>
        <w:lvlText w:val=""/>
        <w:lvlJc w:val="left"/>
        <w:pPr>
          <w:tabs>
            <w:tab w:val="num" w:pos="1440"/>
          </w:tabs>
          <w:ind w:left="1440" w:hanging="360"/>
        </w:pPr>
        <w:rPr>
          <w:rFonts w:ascii="Symbol" w:hAnsi="Symbol" w:hint="default"/>
          <w:sz w:val="20"/>
        </w:rPr>
      </w:lvl>
    </w:lvlOverride>
  </w:num>
  <w:num w:numId="12" w16cid:durableId="1821461600">
    <w:abstractNumId w:val="4"/>
    <w:lvlOverride w:ilvl="1">
      <w:lvl w:ilvl="1">
        <w:numFmt w:val="bullet"/>
        <w:lvlText w:val=""/>
        <w:lvlJc w:val="left"/>
        <w:pPr>
          <w:tabs>
            <w:tab w:val="num" w:pos="1440"/>
          </w:tabs>
          <w:ind w:left="1440" w:hanging="360"/>
        </w:pPr>
        <w:rPr>
          <w:rFonts w:ascii="Symbol" w:hAnsi="Symbol" w:hint="default"/>
          <w:sz w:val="20"/>
        </w:rPr>
      </w:lvl>
    </w:lvlOverride>
  </w:num>
  <w:num w:numId="13" w16cid:durableId="1130628190">
    <w:abstractNumId w:val="4"/>
    <w:lvlOverride w:ilvl="1">
      <w:lvl w:ilvl="1">
        <w:numFmt w:val="bullet"/>
        <w:lvlText w:val=""/>
        <w:lvlJc w:val="left"/>
        <w:pPr>
          <w:tabs>
            <w:tab w:val="num" w:pos="1440"/>
          </w:tabs>
          <w:ind w:left="1440" w:hanging="360"/>
        </w:pPr>
        <w:rPr>
          <w:rFonts w:ascii="Symbol" w:hAnsi="Symbol" w:hint="default"/>
          <w:sz w:val="20"/>
        </w:rPr>
      </w:lvl>
    </w:lvlOverride>
  </w:num>
  <w:num w:numId="14" w16cid:durableId="1443457006">
    <w:abstractNumId w:val="4"/>
    <w:lvlOverride w:ilvl="1">
      <w:lvl w:ilvl="1">
        <w:numFmt w:val="bullet"/>
        <w:lvlText w:val=""/>
        <w:lvlJc w:val="left"/>
        <w:pPr>
          <w:tabs>
            <w:tab w:val="num" w:pos="1440"/>
          </w:tabs>
          <w:ind w:left="1440" w:hanging="360"/>
        </w:pPr>
        <w:rPr>
          <w:rFonts w:ascii="Symbol" w:hAnsi="Symbol" w:hint="default"/>
          <w:sz w:val="20"/>
        </w:rPr>
      </w:lvl>
    </w:lvlOverride>
  </w:num>
  <w:num w:numId="15" w16cid:durableId="1666860614">
    <w:abstractNumId w:val="4"/>
    <w:lvlOverride w:ilvl="1">
      <w:lvl w:ilvl="1">
        <w:numFmt w:val="bullet"/>
        <w:lvlText w:val=""/>
        <w:lvlJc w:val="left"/>
        <w:pPr>
          <w:tabs>
            <w:tab w:val="num" w:pos="1440"/>
          </w:tabs>
          <w:ind w:left="1440" w:hanging="360"/>
        </w:pPr>
        <w:rPr>
          <w:rFonts w:ascii="Symbol" w:hAnsi="Symbol" w:hint="default"/>
          <w:sz w:val="20"/>
        </w:rPr>
      </w:lvl>
    </w:lvlOverride>
  </w:num>
  <w:num w:numId="16" w16cid:durableId="272519772">
    <w:abstractNumId w:val="4"/>
    <w:lvlOverride w:ilvl="1">
      <w:lvl w:ilvl="1">
        <w:numFmt w:val="bullet"/>
        <w:lvlText w:val=""/>
        <w:lvlJc w:val="left"/>
        <w:pPr>
          <w:tabs>
            <w:tab w:val="num" w:pos="1440"/>
          </w:tabs>
          <w:ind w:left="1440" w:hanging="360"/>
        </w:pPr>
        <w:rPr>
          <w:rFonts w:ascii="Symbol" w:hAnsi="Symbol" w:hint="default"/>
          <w:sz w:val="20"/>
        </w:rPr>
      </w:lvl>
    </w:lvlOverride>
  </w:num>
  <w:num w:numId="17" w16cid:durableId="1982347949">
    <w:abstractNumId w:val="1"/>
  </w:num>
  <w:num w:numId="18" w16cid:durableId="1240558151">
    <w:abstractNumId w:val="3"/>
  </w:num>
  <w:num w:numId="19" w16cid:durableId="1014461503">
    <w:abstractNumId w:val="6"/>
  </w:num>
  <w:num w:numId="20" w16cid:durableId="1576239094">
    <w:abstractNumId w:val="8"/>
  </w:num>
  <w:num w:numId="21" w16cid:durableId="670958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8F1"/>
    <w:rsid w:val="00051877"/>
    <w:rsid w:val="00051A5C"/>
    <w:rsid w:val="0006411B"/>
    <w:rsid w:val="000C74A2"/>
    <w:rsid w:val="000D7495"/>
    <w:rsid w:val="000F0433"/>
    <w:rsid w:val="00126657"/>
    <w:rsid w:val="00165C03"/>
    <w:rsid w:val="001748F1"/>
    <w:rsid w:val="001A5603"/>
    <w:rsid w:val="001E38CB"/>
    <w:rsid w:val="0020565A"/>
    <w:rsid w:val="00261E30"/>
    <w:rsid w:val="002B2C58"/>
    <w:rsid w:val="002D275E"/>
    <w:rsid w:val="002D593E"/>
    <w:rsid w:val="00301F66"/>
    <w:rsid w:val="003528B7"/>
    <w:rsid w:val="003A6B01"/>
    <w:rsid w:val="003F21C0"/>
    <w:rsid w:val="004064AB"/>
    <w:rsid w:val="004D7FA4"/>
    <w:rsid w:val="00527E9E"/>
    <w:rsid w:val="005508DB"/>
    <w:rsid w:val="00553D1D"/>
    <w:rsid w:val="00574BB7"/>
    <w:rsid w:val="00590941"/>
    <w:rsid w:val="005A0B96"/>
    <w:rsid w:val="00632BF6"/>
    <w:rsid w:val="006C4E87"/>
    <w:rsid w:val="0075319F"/>
    <w:rsid w:val="00791C6C"/>
    <w:rsid w:val="007A1149"/>
    <w:rsid w:val="007A363B"/>
    <w:rsid w:val="007C509E"/>
    <w:rsid w:val="007D494C"/>
    <w:rsid w:val="007E5341"/>
    <w:rsid w:val="00817B2D"/>
    <w:rsid w:val="00831433"/>
    <w:rsid w:val="00877F79"/>
    <w:rsid w:val="008C0A10"/>
    <w:rsid w:val="008E78D4"/>
    <w:rsid w:val="009451EB"/>
    <w:rsid w:val="00946F3C"/>
    <w:rsid w:val="0095185C"/>
    <w:rsid w:val="00962191"/>
    <w:rsid w:val="00970F20"/>
    <w:rsid w:val="009738FA"/>
    <w:rsid w:val="00974DCF"/>
    <w:rsid w:val="00A05827"/>
    <w:rsid w:val="00A1257D"/>
    <w:rsid w:val="00A13484"/>
    <w:rsid w:val="00A24518"/>
    <w:rsid w:val="00A50A72"/>
    <w:rsid w:val="00A81E5D"/>
    <w:rsid w:val="00B3355B"/>
    <w:rsid w:val="00B4077C"/>
    <w:rsid w:val="00B60624"/>
    <w:rsid w:val="00B9583B"/>
    <w:rsid w:val="00BA66AB"/>
    <w:rsid w:val="00BD7A3F"/>
    <w:rsid w:val="00BE74D0"/>
    <w:rsid w:val="00BF06B8"/>
    <w:rsid w:val="00BF1B5D"/>
    <w:rsid w:val="00BF3B01"/>
    <w:rsid w:val="00C01F3A"/>
    <w:rsid w:val="00C25604"/>
    <w:rsid w:val="00C25E12"/>
    <w:rsid w:val="00C40AAA"/>
    <w:rsid w:val="00C87E95"/>
    <w:rsid w:val="00C95435"/>
    <w:rsid w:val="00CD0FB1"/>
    <w:rsid w:val="00CE47EF"/>
    <w:rsid w:val="00CE68C9"/>
    <w:rsid w:val="00D2111C"/>
    <w:rsid w:val="00D27CE1"/>
    <w:rsid w:val="00D74DA2"/>
    <w:rsid w:val="00DB5878"/>
    <w:rsid w:val="00DD13E9"/>
    <w:rsid w:val="00DE1F7D"/>
    <w:rsid w:val="00DE2DC0"/>
    <w:rsid w:val="00DF06B6"/>
    <w:rsid w:val="00E30C1C"/>
    <w:rsid w:val="00E869DA"/>
    <w:rsid w:val="00EC2557"/>
    <w:rsid w:val="00ED4426"/>
    <w:rsid w:val="00F176B1"/>
    <w:rsid w:val="00F52A80"/>
    <w:rsid w:val="00F92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F69B4"/>
  <w15:chartTrackingRefBased/>
  <w15:docId w15:val="{EB61D739-5370-4481-B3EA-F06B0F54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74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74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74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74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8F1"/>
    <w:rPr>
      <w:rFonts w:eastAsiaTheme="majorEastAsia" w:cstheme="majorBidi"/>
      <w:color w:val="272727" w:themeColor="text1" w:themeTint="D8"/>
    </w:rPr>
  </w:style>
  <w:style w:type="paragraph" w:styleId="Title">
    <w:name w:val="Title"/>
    <w:basedOn w:val="Normal"/>
    <w:next w:val="Normal"/>
    <w:link w:val="TitleChar"/>
    <w:uiPriority w:val="10"/>
    <w:qFormat/>
    <w:rsid w:val="00174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8F1"/>
    <w:pPr>
      <w:spacing w:before="160"/>
      <w:jc w:val="center"/>
    </w:pPr>
    <w:rPr>
      <w:i/>
      <w:iCs/>
      <w:color w:val="404040" w:themeColor="text1" w:themeTint="BF"/>
    </w:rPr>
  </w:style>
  <w:style w:type="character" w:customStyle="1" w:styleId="QuoteChar">
    <w:name w:val="Quote Char"/>
    <w:basedOn w:val="DefaultParagraphFont"/>
    <w:link w:val="Quote"/>
    <w:uiPriority w:val="29"/>
    <w:rsid w:val="001748F1"/>
    <w:rPr>
      <w:i/>
      <w:iCs/>
      <w:color w:val="404040" w:themeColor="text1" w:themeTint="BF"/>
    </w:rPr>
  </w:style>
  <w:style w:type="paragraph" w:styleId="ListParagraph">
    <w:name w:val="List Paragraph"/>
    <w:basedOn w:val="Normal"/>
    <w:uiPriority w:val="34"/>
    <w:qFormat/>
    <w:rsid w:val="001748F1"/>
    <w:pPr>
      <w:ind w:left="720"/>
      <w:contextualSpacing/>
    </w:pPr>
  </w:style>
  <w:style w:type="character" w:styleId="IntenseEmphasis">
    <w:name w:val="Intense Emphasis"/>
    <w:basedOn w:val="DefaultParagraphFont"/>
    <w:uiPriority w:val="21"/>
    <w:qFormat/>
    <w:rsid w:val="001748F1"/>
    <w:rPr>
      <w:i/>
      <w:iCs/>
      <w:color w:val="0F4761" w:themeColor="accent1" w:themeShade="BF"/>
    </w:rPr>
  </w:style>
  <w:style w:type="paragraph" w:styleId="IntenseQuote">
    <w:name w:val="Intense Quote"/>
    <w:basedOn w:val="Normal"/>
    <w:next w:val="Normal"/>
    <w:link w:val="IntenseQuoteChar"/>
    <w:uiPriority w:val="30"/>
    <w:qFormat/>
    <w:rsid w:val="00174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8F1"/>
    <w:rPr>
      <w:i/>
      <w:iCs/>
      <w:color w:val="0F4761" w:themeColor="accent1" w:themeShade="BF"/>
    </w:rPr>
  </w:style>
  <w:style w:type="character" w:styleId="IntenseReference">
    <w:name w:val="Intense Reference"/>
    <w:basedOn w:val="DefaultParagraphFont"/>
    <w:uiPriority w:val="32"/>
    <w:qFormat/>
    <w:rsid w:val="001748F1"/>
    <w:rPr>
      <w:b/>
      <w:bCs/>
      <w:smallCaps/>
      <w:color w:val="0F4761" w:themeColor="accent1" w:themeShade="BF"/>
      <w:spacing w:val="5"/>
    </w:rPr>
  </w:style>
  <w:style w:type="paragraph" w:styleId="Header">
    <w:name w:val="header"/>
    <w:basedOn w:val="Normal"/>
    <w:link w:val="HeaderChar"/>
    <w:uiPriority w:val="99"/>
    <w:unhideWhenUsed/>
    <w:rsid w:val="00CD0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FB1"/>
  </w:style>
  <w:style w:type="paragraph" w:styleId="Footer">
    <w:name w:val="footer"/>
    <w:basedOn w:val="Normal"/>
    <w:link w:val="FooterChar"/>
    <w:uiPriority w:val="99"/>
    <w:unhideWhenUsed/>
    <w:rsid w:val="00CD0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FB1"/>
  </w:style>
  <w:style w:type="paragraph" w:styleId="FootnoteText">
    <w:name w:val="footnote text"/>
    <w:basedOn w:val="Normal"/>
    <w:link w:val="FootnoteTextChar"/>
    <w:uiPriority w:val="99"/>
    <w:semiHidden/>
    <w:unhideWhenUsed/>
    <w:rsid w:val="00817B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7B2D"/>
    <w:rPr>
      <w:sz w:val="20"/>
      <w:szCs w:val="20"/>
    </w:rPr>
  </w:style>
  <w:style w:type="character" w:styleId="FootnoteReference">
    <w:name w:val="footnote reference"/>
    <w:basedOn w:val="DefaultParagraphFont"/>
    <w:uiPriority w:val="99"/>
    <w:semiHidden/>
    <w:unhideWhenUsed/>
    <w:rsid w:val="00817B2D"/>
    <w:rPr>
      <w:vertAlign w:val="superscript"/>
    </w:rPr>
  </w:style>
  <w:style w:type="paragraph" w:styleId="Revision">
    <w:name w:val="Revision"/>
    <w:hidden/>
    <w:uiPriority w:val="99"/>
    <w:semiHidden/>
    <w:rsid w:val="00CE68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A75F6-3C87-4E4A-8F0C-16F251A3F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1536</Words>
  <Characters>9327</Characters>
  <Application>Microsoft Office Word</Application>
  <DocSecurity>0</DocSecurity>
  <Lines>239</Lines>
  <Paragraphs>157</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 V. Velenyi</dc:creator>
  <cp:keywords/>
  <dc:description/>
  <cp:lastModifiedBy>Edit V. Velenyi</cp:lastModifiedBy>
  <cp:revision>9</cp:revision>
  <dcterms:created xsi:type="dcterms:W3CDTF">2026-03-04T23:56:00Z</dcterms:created>
  <dcterms:modified xsi:type="dcterms:W3CDTF">2026-03-05T00:05:00Z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427c155d,79ea2f1f,7251cfb1</vt:lpwstr>
  </property>
  <property fmtid="{D5CDD505-2E9C-101B-9397-08002B2CF9AE}" pid="3" name="ClassificationContentMarkingFooterFontProps">
    <vt:lpwstr>#000000,10,Aptos</vt:lpwstr>
  </property>
  <property fmtid="{D5CDD505-2E9C-101B-9397-08002B2CF9AE}" pid="4" name="ClassificationContentMarkingFooterText">
    <vt:lpwstr>Official Use Only</vt:lpwstr>
  </property>
  <property fmtid="{D5CDD505-2E9C-101B-9397-08002B2CF9AE}" pid="5" name="MSIP_Label_f1bf45b6-5649-4236-82a3-f45024cd282e_Enabled">
    <vt:lpwstr>true</vt:lpwstr>
  </property>
  <property fmtid="{D5CDD505-2E9C-101B-9397-08002B2CF9AE}" pid="6" name="MSIP_Label_f1bf45b6-5649-4236-82a3-f45024cd282e_SetDate">
    <vt:lpwstr>2026-02-24T04:29:09Z</vt:lpwstr>
  </property>
  <property fmtid="{D5CDD505-2E9C-101B-9397-08002B2CF9AE}" pid="7" name="MSIP_Label_f1bf45b6-5649-4236-82a3-f45024cd282e_Method">
    <vt:lpwstr>Standard</vt:lpwstr>
  </property>
  <property fmtid="{D5CDD505-2E9C-101B-9397-08002B2CF9AE}" pid="8" name="MSIP_Label_f1bf45b6-5649-4236-82a3-f45024cd282e_Name">
    <vt:lpwstr>Official Use Only</vt:lpwstr>
  </property>
  <property fmtid="{D5CDD505-2E9C-101B-9397-08002B2CF9AE}" pid="9" name="MSIP_Label_f1bf45b6-5649-4236-82a3-f45024cd282e_SiteId">
    <vt:lpwstr>31a2fec0-266b-4c67-b56e-2796d8f59c36</vt:lpwstr>
  </property>
  <property fmtid="{D5CDD505-2E9C-101B-9397-08002B2CF9AE}" pid="10" name="MSIP_Label_f1bf45b6-5649-4236-82a3-f45024cd282e_ActionId">
    <vt:lpwstr>ced0c3e2-bde8-4aef-b6dd-23bbd56fe85a</vt:lpwstr>
  </property>
  <property fmtid="{D5CDD505-2E9C-101B-9397-08002B2CF9AE}" pid="11" name="MSIP_Label_f1bf45b6-5649-4236-82a3-f45024cd282e_ContentBits">
    <vt:lpwstr>2</vt:lpwstr>
  </property>
  <property fmtid="{D5CDD505-2E9C-101B-9397-08002B2CF9AE}" pid="12" name="MSIP_Label_f1bf45b6-5649-4236-82a3-f45024cd282e_Tag">
    <vt:lpwstr>10, 3, 0, 1</vt:lpwstr>
  </property>
</Properties>
</file>